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Pr>
      <w:bookmarkStart w:id="0" w:name="_Toc505330698"/>
    </w:p>
    <w:p>
      <w:pPr>
        <w:rPr>
          <w:rFonts w:ascii="Times New Roman" w:hAnsi="Times New Roman" w:eastAsia="黑体" w:cs="Times New Roman"/>
          <w:b/>
          <w:sz w:val="44"/>
          <w:szCs w:val="44"/>
        </w:rPr>
      </w:pPr>
    </w:p>
    <w:p>
      <w:pPr>
        <w:spacing w:line="900" w:lineRule="exact"/>
        <w:jc w:val="center"/>
        <w:rPr>
          <w:rFonts w:ascii="Times New Roman" w:hAnsi="Times New Roman" w:eastAsia="微软雅黑" w:cs="Times New Roman"/>
          <w:b/>
          <w:sz w:val="44"/>
          <w:szCs w:val="44"/>
        </w:rPr>
      </w:pPr>
      <w:r>
        <w:rPr>
          <w:rFonts w:ascii="Times New Roman" w:hAnsi="Times New Roman" w:eastAsia="微软雅黑" w:cs="Times New Roman"/>
          <w:b/>
          <w:sz w:val="44"/>
          <w:szCs w:val="44"/>
        </w:rPr>
        <w:t>福建省沿海防护林体系建设工程规划（2016~2025年）</w:t>
      </w: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jc w:val="center"/>
        <w:rPr>
          <w:rFonts w:ascii="Times New Roman" w:hAnsi="Times New Roman" w:eastAsia="黑体" w:cs="Times New Roman"/>
          <w:b/>
          <w:sz w:val="32"/>
          <w:szCs w:val="32"/>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rPr>
          <w:rFonts w:ascii="Times New Roman" w:hAnsi="Times New Roman" w:eastAsia="黑体" w:cs="Times New Roman"/>
          <w:b/>
          <w:sz w:val="44"/>
          <w:szCs w:val="44"/>
        </w:rPr>
      </w:pPr>
    </w:p>
    <w:p>
      <w:pPr>
        <w:jc w:val="center"/>
        <w:rPr>
          <w:rFonts w:ascii="Times New Roman" w:hAnsi="Times New Roman" w:eastAsia="黑体" w:cs="Times New Roman"/>
          <w:b/>
          <w:sz w:val="44"/>
          <w:szCs w:val="44"/>
        </w:rPr>
      </w:pPr>
    </w:p>
    <w:p>
      <w:pPr>
        <w:jc w:val="center"/>
        <w:rPr>
          <w:rFonts w:ascii="Times New Roman" w:hAnsi="Times New Roman" w:eastAsia="微软雅黑" w:cs="Times New Roman"/>
          <w:b/>
          <w:sz w:val="32"/>
          <w:szCs w:val="32"/>
        </w:rPr>
      </w:pPr>
    </w:p>
    <w:p>
      <w:pPr>
        <w:jc w:val="center"/>
        <w:rPr>
          <w:rFonts w:ascii="Times New Roman" w:hAnsi="Times New Roman" w:eastAsia="微软雅黑" w:cs="Times New Roman"/>
          <w:b/>
          <w:sz w:val="32"/>
          <w:szCs w:val="32"/>
        </w:rPr>
      </w:pPr>
      <w:r>
        <w:rPr>
          <w:rFonts w:ascii="Times New Roman" w:hAnsi="Times New Roman" w:eastAsia="微软雅黑" w:cs="Times New Roman"/>
          <w:b/>
          <w:sz w:val="32"/>
          <w:szCs w:val="32"/>
        </w:rPr>
        <w:t>福建省林业局</w:t>
      </w:r>
    </w:p>
    <w:p>
      <w:pPr>
        <w:jc w:val="center"/>
        <w:rPr>
          <w:rFonts w:ascii="Times New Roman" w:hAnsi="Times New Roman" w:eastAsia="微软雅黑" w:cs="Times New Roman"/>
          <w:b/>
          <w:sz w:val="32"/>
          <w:szCs w:val="32"/>
        </w:rPr>
      </w:pPr>
      <w:r>
        <w:rPr>
          <w:rFonts w:ascii="Times New Roman" w:hAnsi="Times New Roman" w:eastAsia="微软雅黑" w:cs="Times New Roman"/>
          <w:b/>
          <w:sz w:val="32"/>
          <w:szCs w:val="32"/>
        </w:rPr>
        <w:t>二〇一九年</w:t>
      </w:r>
      <w:r>
        <w:rPr>
          <w:rFonts w:hint="eastAsia" w:ascii="Times New Roman" w:hAnsi="Times New Roman" w:eastAsia="微软雅黑" w:cs="Times New Roman"/>
          <w:b/>
          <w:sz w:val="32"/>
          <w:szCs w:val="32"/>
          <w:lang w:eastAsia="zh-CN"/>
        </w:rPr>
        <w:t>六</w:t>
      </w:r>
      <w:r>
        <w:rPr>
          <w:rFonts w:ascii="Times New Roman" w:hAnsi="Times New Roman" w:eastAsia="微软雅黑" w:cs="Times New Roman"/>
          <w:b/>
          <w:sz w:val="32"/>
          <w:szCs w:val="32"/>
        </w:rPr>
        <w:t>月</w:t>
      </w:r>
    </w:p>
    <w:p>
      <w:pPr>
        <w:jc w:val="center"/>
        <w:rPr>
          <w:rFonts w:ascii="Times New Roman" w:hAnsi="Times New Roman" w:eastAsia="微软雅黑" w:cs="Times New Roman"/>
          <w:b/>
          <w:sz w:val="32"/>
          <w:szCs w:val="32"/>
        </w:rPr>
      </w:pPr>
    </w:p>
    <w:p>
      <w:pPr>
        <w:jc w:val="center"/>
        <w:rPr>
          <w:rFonts w:ascii="Times New Roman" w:hAnsi="Times New Roman" w:eastAsia="微软雅黑" w:cs="Times New Roman"/>
          <w:b/>
          <w:sz w:val="32"/>
          <w:szCs w:val="32"/>
        </w:rPr>
        <w:sectPr>
          <w:pgSz w:w="11906" w:h="16838"/>
          <w:pgMar w:top="1440" w:right="1800" w:bottom="1440" w:left="1800" w:header="851" w:footer="992" w:gutter="0"/>
          <w:cols w:space="425" w:num="1"/>
          <w:docGrid w:type="lines" w:linePitch="312" w:charSpace="0"/>
        </w:sectPr>
      </w:pPr>
    </w:p>
    <w:p>
      <w:pPr>
        <w:pStyle w:val="2"/>
        <w:spacing w:before="0" w:afterLines="50" w:line="240" w:lineRule="auto"/>
        <w:jc w:val="center"/>
        <w:rPr>
          <w:rFonts w:ascii="Times New Roman" w:hAnsi="Times New Roman" w:eastAsia="微软雅黑" w:cs="Times New Roman"/>
          <w:sz w:val="32"/>
          <w:szCs w:val="32"/>
        </w:rPr>
      </w:pPr>
      <w:bookmarkStart w:id="1" w:name="_Toc15629"/>
      <w:r>
        <w:rPr>
          <w:rFonts w:ascii="Times New Roman" w:hAnsi="Times New Roman" w:eastAsia="微软雅黑" w:cs="Times New Roman"/>
          <w:sz w:val="32"/>
          <w:szCs w:val="32"/>
        </w:rPr>
        <w:t>前言</w:t>
      </w:r>
      <w:bookmarkEnd w:id="0"/>
      <w:bookmarkEnd w:id="1"/>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为贯彻落实党中央关于“大力推进生态文明，建设美丽中国，实施重大生态修复工程”的决策部署和国家区域发展总体规划，坚持“绿色发展”理念，筑牢沿海生态安全屏障，进一步加强全国沿海防护林体系工程建设，改善沿海地区生态状况，提升防灾减灾能力，保障人民群众生命财产安全和促进沿海地区经济社会的可持续发展意义重大，原国家林业局会同国家发展改革委员会联合编制了《全国沿海防护林体系建设工程规划（2016-2025年）》，并于2017年5月份印发各省(市、区)，要求各地认真组织实施，确保全国规划目标如期实现。</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地处我国东南沿海，沿海防护林体系是全省重要的绿色生态屏障，是沿海地区防灾减灾体系建设的重要组成部分。1988年省委、省政府根据原国家林业部统一部署，作出全面实施沿海防护林体系建设的决定，在历届省委、省政府高度重视下，在各级党委政府和广大干部群众的共同努力下，历经三十年的建设发展，成效显著。工程区涉及沿海地区49个县（市、区），区内有林地面积从1988年的101万公顷增至2015年的298万公顷，森林覆盖率从35.0%上升至60.16%。2016-2018年省委、省政府又将沿海基干林带建设列入为民办实事项目，3年完成沿海防护林建设面积50293公顷，其中，人工造林面积2905公顷，低效防护林改造面积35121公顷，封山育林面积12267公顷。沿海防护林体系已成为我省沿海地区的“生命林”、“保安林”、“国防林”，为改善沿海地区生态环境，</w:t>
      </w:r>
      <w:r>
        <w:rPr>
          <w:rFonts w:hint="default" w:ascii="Times New Roman" w:hAnsi="Times New Roman" w:eastAsia="宋体" w:cs="Times New Roman"/>
          <w:color w:val="000000" w:themeColor="text1"/>
          <w:sz w:val="28"/>
          <w:szCs w:val="28"/>
        </w:rPr>
        <w:t>助力</w:t>
      </w:r>
      <w:r>
        <w:rPr>
          <w:rFonts w:hint="eastAsia" w:ascii="Times New Roman" w:hAnsi="Times New Roman" w:eastAsia="宋体" w:cs="Times New Roman"/>
          <w:color w:val="000000" w:themeColor="text1"/>
          <w:sz w:val="28"/>
          <w:szCs w:val="28"/>
          <w:lang w:eastAsia="zh-CN"/>
        </w:rPr>
        <w:t>我省生态</w:t>
      </w:r>
      <w:r>
        <w:rPr>
          <w:rFonts w:hint="default" w:ascii="Times New Roman" w:hAnsi="Times New Roman" w:eastAsia="宋体" w:cs="Times New Roman"/>
          <w:color w:val="000000" w:themeColor="text1"/>
          <w:sz w:val="28"/>
          <w:szCs w:val="28"/>
        </w:rPr>
        <w:t>建</w:t>
      </w:r>
      <w:r>
        <w:rPr>
          <w:rFonts w:hint="default" w:ascii="Times New Roman" w:hAnsi="Times New Roman" w:eastAsia="宋体" w:cs="Times New Roman"/>
          <w:sz w:val="28"/>
          <w:szCs w:val="28"/>
        </w:rPr>
        <w:t>设作出巨大贡献，为实现全省社会经济发展提供强有力的生态支撑。但从总体上看，沿海防护林体系还不完善，林分质量不高，特别是基干林带宽度不足，基干林带造林地落实难，保护与发展矛盾突出，沿海防护林的综合防护效能仍然不强。</w:t>
      </w:r>
      <w:bookmarkStart w:id="2" w:name="_Toc505330699"/>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为推进新福建建设，实现“生态美、百姓富”的有机统一，着力构建体系更为稳定、功能更加完善的沿海防护林体系。根据《国家林业局、国家发展和改革委员会关于印发&lt;全国沿海防护林体系建设工程规划（2016-2025年）&gt;的通知》（林规发〔2017〕38号）要求，省林业局组织开展《福建省沿海防护林体系建设工程规划（2016-2025年）》编制，并委托省林业调查规划院具体承担本次规划的编制工作。省林规院高度重视，抽调技术骨干组成项目编制组。编制组广泛收集资料，深入开展调研，实事求是、科学严谨地编制本次规划。</w:t>
      </w:r>
    </w:p>
    <w:p>
      <w:pPr>
        <w:spacing w:line="560" w:lineRule="exact"/>
        <w:ind w:firstLine="560" w:firstLineChars="200"/>
        <w:rPr>
          <w:rFonts w:hint="default" w:ascii="Times New Roman" w:hAnsi="Times New Roman" w:eastAsia="宋体" w:cs="Times New Roman"/>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default" w:ascii="Times New Roman" w:hAnsi="Times New Roman" w:eastAsia="宋体" w:cs="Times New Roman"/>
          <w:sz w:val="28"/>
          <w:szCs w:val="28"/>
        </w:rPr>
        <w:t>本次规划编制分为四个阶段：第一阶段（2018年1-3月）：收集基础数据和资料，制定规划技术方案；第二阶段（2018年4-10月）：提取现状数据，初步拟定全省和各县（市、区）建设任务，并下发至各设区市林业主管部门进行初步调查规划；第三阶段(2018年10-12月)：下发《福建省林业厅关于开展全省沿海防护林体系建设工程规划的通知》（闽林文〔2018〕158号），将各县（市、区）建设任务数下发各地，要求各地进一步调查核实、补充完善，并经</w:t>
      </w:r>
      <w:r>
        <w:rPr>
          <w:rFonts w:hint="default" w:ascii="Times New Roman" w:hAnsi="Times New Roman" w:eastAsia="宋体" w:cs="Times New Roman"/>
          <w:sz w:val="28"/>
          <w:szCs w:val="28"/>
          <w:lang w:val="zh-CN"/>
        </w:rPr>
        <w:t>各设区市林业局审核后、汇总上报省林业局。</w:t>
      </w:r>
      <w:r>
        <w:rPr>
          <w:rFonts w:hint="default" w:ascii="Times New Roman" w:hAnsi="Times New Roman" w:eastAsia="宋体" w:cs="Times New Roman"/>
          <w:sz w:val="28"/>
          <w:szCs w:val="28"/>
        </w:rPr>
        <w:t>第四阶段（2019年1-5月）：省林规院根据各地正式确定的建设任务数，编制</w:t>
      </w:r>
      <w:r>
        <w:rPr>
          <w:rFonts w:hint="default" w:ascii="Times New Roman" w:hAnsi="Times New Roman" w:eastAsia="宋体" w:cs="Times New Roman"/>
          <w:sz w:val="28"/>
          <w:szCs w:val="28"/>
          <w:lang w:val="zh-CN"/>
        </w:rPr>
        <w:t>《福建省沿海防护林体系建设工程规划（</w:t>
      </w:r>
      <w:r>
        <w:rPr>
          <w:rFonts w:hint="default" w:ascii="Times New Roman" w:hAnsi="Times New Roman" w:eastAsia="宋体" w:cs="Times New Roman"/>
          <w:sz w:val="28"/>
          <w:szCs w:val="28"/>
        </w:rPr>
        <w:t>2016-2025）》文本初稿，经征求局各有关处室局站、省直各有关部门意见修改完善后，于5月26日召开专家评审会，并根据专家提出的意见和建议进一步修改完善，形成本《规划》文本。</w:t>
      </w:r>
    </w:p>
    <w:p>
      <w:pPr>
        <w:spacing w:line="500" w:lineRule="exact"/>
        <w:jc w:val="center"/>
        <w:rPr>
          <w:rFonts w:ascii="Times New Roman" w:hAnsi="Times New Roman" w:eastAsia="微软雅黑" w:cs="Times New Roman"/>
          <w:b/>
          <w:sz w:val="30"/>
          <w:szCs w:val="30"/>
        </w:rPr>
      </w:pPr>
      <w:r>
        <w:rPr>
          <w:rFonts w:ascii="Times New Roman" w:hAnsi="Times New Roman" w:eastAsia="微软雅黑" w:cs="Times New Roman"/>
          <w:b/>
          <w:sz w:val="30"/>
          <w:szCs w:val="30"/>
        </w:rPr>
        <w:t>目    录</w:t>
      </w:r>
    </w:p>
    <w:p>
      <w:pPr>
        <w:pStyle w:val="14"/>
        <w:tabs>
          <w:tab w:val="right" w:leader="dot" w:pos="8306"/>
          <w:tab w:val="clear" w:pos="8296"/>
        </w:tabs>
        <w:spacing w:line="460" w:lineRule="exact"/>
      </w:pPr>
      <w:r>
        <w:rPr>
          <w:rFonts w:ascii="Times New Roman" w:hAnsi="Times New Roman" w:eastAsiaTheme="minorEastAsia"/>
          <w:b w:val="0"/>
          <w:bCs/>
        </w:rPr>
        <w:fldChar w:fldCharType="begin"/>
      </w:r>
      <w:r>
        <w:rPr>
          <w:rFonts w:ascii="Times New Roman" w:hAnsi="Times New Roman" w:eastAsiaTheme="minorEastAsia"/>
          <w:b w:val="0"/>
          <w:bCs/>
        </w:rPr>
        <w:instrText xml:space="preserve"> TOC \o "1-2" \h \z \u </w:instrText>
      </w:r>
      <w:r>
        <w:rPr>
          <w:rFonts w:ascii="Times New Roman" w:hAnsi="Times New Roman" w:eastAsiaTheme="minorEastAsia"/>
          <w:b w:val="0"/>
          <w:bCs/>
        </w:rPr>
        <w:fldChar w:fldCharType="separate"/>
      </w:r>
      <w:r>
        <w:fldChar w:fldCharType="begin"/>
      </w:r>
      <w:r>
        <w:instrText xml:space="preserve"> HYPERLINK \l "_Toc15629" </w:instrText>
      </w:r>
      <w:r>
        <w:fldChar w:fldCharType="separate"/>
      </w:r>
      <w:r>
        <w:rPr>
          <w:rFonts w:ascii="Times New Roman" w:hAnsi="Times New Roman" w:eastAsia="微软雅黑"/>
        </w:rPr>
        <w:t>前言</w:t>
      </w:r>
      <w:r>
        <w:rPr>
          <w:rFonts w:ascii="Times New Roman" w:hAnsi="Times New Roman" w:eastAsia="微软雅黑"/>
        </w:rPr>
        <w:fldChar w:fldCharType="end"/>
      </w:r>
    </w:p>
    <w:p>
      <w:pPr>
        <w:pStyle w:val="14"/>
        <w:tabs>
          <w:tab w:val="right" w:leader="dot" w:pos="8306"/>
          <w:tab w:val="clear" w:pos="8296"/>
        </w:tabs>
        <w:spacing w:line="460" w:lineRule="exact"/>
      </w:pPr>
      <w:r>
        <w:fldChar w:fldCharType="begin"/>
      </w:r>
      <w:r>
        <w:instrText xml:space="preserve"> HYPERLINK \l "_Toc11105" </w:instrText>
      </w:r>
      <w:r>
        <w:fldChar w:fldCharType="separate"/>
      </w:r>
      <w:r>
        <w:rPr>
          <w:rFonts w:ascii="Times New Roman" w:hAnsi="Times New Roman" w:eastAsia="微软雅黑"/>
        </w:rPr>
        <w:t>第一章 总论</w:t>
      </w:r>
      <w:r>
        <w:tab/>
      </w:r>
      <w:r>
        <w:fldChar w:fldCharType="begin"/>
      </w:r>
      <w:r>
        <w:instrText xml:space="preserve"> PAGEREF _Toc11105 </w:instrText>
      </w:r>
      <w:r>
        <w:fldChar w:fldCharType="separate"/>
      </w:r>
      <w:r>
        <w:t>1</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"_Toc11372" </w:instrText>
      </w:r>
      <w:r>
        <w:fldChar w:fldCharType="separate"/>
      </w:r>
      <w:r>
        <w:rPr>
          <w:rFonts w:ascii="Times New Roman" w:hAnsi="Times New Roman" w:eastAsia="微软雅黑" w:cs="Times New Roman"/>
          <w:sz w:val="24"/>
          <w:szCs w:val="24"/>
        </w:rPr>
        <w:t>一、工程规划背景</w:t>
      </w:r>
      <w:r>
        <w:rPr>
          <w:sz w:val="24"/>
          <w:szCs w:val="24"/>
        </w:rPr>
        <w:tab/>
      </w:r>
      <w:r>
        <w:rPr>
          <w:sz w:val="24"/>
          <w:szCs w:val="24"/>
        </w:rPr>
        <w:fldChar w:fldCharType="begin"/>
      </w:r>
      <w:r>
        <w:rPr>
          <w:sz w:val="24"/>
          <w:szCs w:val="24"/>
        </w:rPr>
        <w:instrText xml:space="preserve"> PAGEREF _Toc11372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"_Toc21220" </w:instrText>
      </w:r>
      <w:r>
        <w:fldChar w:fldCharType="separate"/>
      </w:r>
      <w:r>
        <w:rPr>
          <w:rFonts w:ascii="Times New Roman" w:hAnsi="Times New Roman" w:eastAsia="微软雅黑" w:cs="Times New Roman"/>
          <w:sz w:val="24"/>
          <w:szCs w:val="24"/>
        </w:rPr>
        <w:t>二、工程建设必要性</w:t>
      </w:r>
      <w:r>
        <w:rPr>
          <w:sz w:val="24"/>
          <w:szCs w:val="24"/>
        </w:rPr>
        <w:tab/>
      </w:r>
      <w:r>
        <w:rPr>
          <w:sz w:val="24"/>
          <w:szCs w:val="24"/>
        </w:rPr>
        <w:fldChar w:fldCharType="begin"/>
      </w:r>
      <w:r>
        <w:rPr>
          <w:sz w:val="24"/>
          <w:szCs w:val="24"/>
        </w:rPr>
        <w:instrText xml:space="preserve"> PAGEREF _Toc21220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"_Toc31139" </w:instrText>
      </w:r>
      <w:r>
        <w:fldChar w:fldCharType="separate"/>
      </w:r>
      <w:r>
        <w:rPr>
          <w:rFonts w:ascii="Times New Roman" w:hAnsi="Times New Roman" w:eastAsia="微软雅黑" w:cs="Times New Roman"/>
          <w:sz w:val="24"/>
          <w:szCs w:val="24"/>
        </w:rPr>
        <w:t>三、规划内容概述</w:t>
      </w:r>
      <w:r>
        <w:rPr>
          <w:sz w:val="24"/>
          <w:szCs w:val="24"/>
        </w:rPr>
        <w:tab/>
      </w:r>
      <w:r>
        <w:rPr>
          <w:sz w:val="24"/>
          <w:szCs w:val="24"/>
        </w:rPr>
        <w:fldChar w:fldCharType="begin"/>
      </w:r>
      <w:r>
        <w:rPr>
          <w:sz w:val="24"/>
          <w:szCs w:val="24"/>
        </w:rPr>
        <w:instrText xml:space="preserve"> PAGEREF _Toc31139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"_Toc12838" </w:instrText>
      </w:r>
      <w:r>
        <w:fldChar w:fldCharType="separate"/>
      </w:r>
      <w:r>
        <w:rPr>
          <w:rFonts w:ascii="Times New Roman" w:hAnsi="Times New Roman" w:eastAsia="微软雅黑"/>
        </w:rPr>
        <w:t>第二章 工程区基本情况</w:t>
      </w:r>
      <w:r>
        <w:tab/>
      </w:r>
      <w:r>
        <w:fldChar w:fldCharType="begin"/>
      </w:r>
      <w:r>
        <w:instrText xml:space="preserve"> PAGEREF _Toc12838 </w:instrText>
      </w:r>
      <w:r>
        <w:fldChar w:fldCharType="separate"/>
      </w:r>
      <w:r>
        <w:t>6</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"_Toc20681" </w:instrText>
      </w:r>
      <w:r>
        <w:fldChar w:fldCharType="separate"/>
      </w:r>
      <w:r>
        <w:rPr>
          <w:rFonts w:ascii="Times New Roman" w:hAnsi="Times New Roman" w:eastAsia="微软雅黑" w:cs="Times New Roman"/>
          <w:sz w:val="24"/>
          <w:szCs w:val="24"/>
        </w:rPr>
        <w:t>一、工程区范围</w:t>
      </w:r>
      <w:r>
        <w:rPr>
          <w:sz w:val="24"/>
          <w:szCs w:val="24"/>
        </w:rPr>
        <w:tab/>
      </w:r>
      <w:r>
        <w:rPr>
          <w:sz w:val="24"/>
          <w:szCs w:val="24"/>
        </w:rPr>
        <w:fldChar w:fldCharType="begin"/>
      </w:r>
      <w:r>
        <w:rPr>
          <w:sz w:val="24"/>
          <w:szCs w:val="24"/>
        </w:rPr>
        <w:instrText xml:space="preserve"> PAGEREF _Toc20681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"_Toc28936" </w:instrText>
      </w:r>
      <w:r>
        <w:fldChar w:fldCharType="separate"/>
      </w:r>
      <w:r>
        <w:rPr>
          <w:rFonts w:ascii="Times New Roman" w:hAnsi="Times New Roman" w:eastAsia="微软雅黑" w:cs="Times New Roman"/>
          <w:sz w:val="24"/>
          <w:szCs w:val="24"/>
        </w:rPr>
        <w:t>二、工程区概况</w:t>
      </w:r>
      <w:r>
        <w:rPr>
          <w:sz w:val="24"/>
          <w:szCs w:val="24"/>
        </w:rPr>
        <w:tab/>
      </w:r>
      <w:r>
        <w:rPr>
          <w:sz w:val="24"/>
          <w:szCs w:val="24"/>
        </w:rPr>
        <w:fldChar w:fldCharType="begin"/>
      </w:r>
      <w:r>
        <w:rPr>
          <w:sz w:val="24"/>
          <w:szCs w:val="24"/>
        </w:rPr>
        <w:instrText xml:space="preserve"> PAGEREF _Toc28936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"_Toc24005" </w:instrText>
      </w:r>
      <w:r>
        <w:fldChar w:fldCharType="separate"/>
      </w:r>
      <w:r>
        <w:rPr>
          <w:rFonts w:ascii="Times New Roman" w:hAnsi="Times New Roman" w:eastAsia="微软雅黑" w:cs="Times New Roman"/>
          <w:sz w:val="24"/>
          <w:szCs w:val="24"/>
        </w:rPr>
        <w:t>三、自然灾害情况</w:t>
      </w:r>
      <w:r>
        <w:rPr>
          <w:sz w:val="24"/>
          <w:szCs w:val="24"/>
        </w:rPr>
        <w:tab/>
      </w:r>
      <w:r>
        <w:rPr>
          <w:sz w:val="24"/>
          <w:szCs w:val="24"/>
        </w:rPr>
        <w:fldChar w:fldCharType="begin"/>
      </w:r>
      <w:r>
        <w:rPr>
          <w:sz w:val="24"/>
          <w:szCs w:val="24"/>
        </w:rPr>
        <w:instrText xml:space="preserve"> PAGEREF _Toc24005 </w:instrText>
      </w:r>
      <w:r>
        <w:rPr>
          <w:sz w:val="24"/>
          <w:szCs w:val="24"/>
        </w:rPr>
        <w:fldChar w:fldCharType="separate"/>
      </w:r>
      <w:r>
        <w:rPr>
          <w:sz w:val="24"/>
          <w:szCs w:val="24"/>
        </w:rPr>
        <w:t>11</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"_Toc10579" </w:instrText>
      </w:r>
      <w:r>
        <w:fldChar w:fldCharType="separate"/>
      </w:r>
      <w:r>
        <w:rPr>
          <w:rFonts w:hint="eastAsia" w:ascii="Times New Roman" w:hAnsi="Times New Roman" w:eastAsia="微软雅黑" w:cs="Times New Roman"/>
          <w:sz w:val="24"/>
          <w:szCs w:val="24"/>
        </w:rPr>
        <w:t>四</w:t>
      </w:r>
      <w:r>
        <w:rPr>
          <w:rFonts w:ascii="Times New Roman" w:hAnsi="Times New Roman" w:eastAsia="微软雅黑" w:cs="Times New Roman"/>
          <w:sz w:val="24"/>
          <w:szCs w:val="24"/>
        </w:rPr>
        <w:t>、工程建设</w:t>
      </w:r>
      <w:r>
        <w:rPr>
          <w:rFonts w:hint="eastAsia" w:ascii="Times New Roman" w:hAnsi="Times New Roman" w:eastAsia="微软雅黑" w:cs="Times New Roman"/>
          <w:sz w:val="24"/>
          <w:szCs w:val="24"/>
        </w:rPr>
        <w:t>有利条件与存在问题</w:t>
      </w:r>
      <w:r>
        <w:rPr>
          <w:sz w:val="24"/>
          <w:szCs w:val="24"/>
        </w:rPr>
        <w:tab/>
      </w:r>
      <w:r>
        <w:rPr>
          <w:sz w:val="24"/>
          <w:szCs w:val="24"/>
        </w:rPr>
        <w:fldChar w:fldCharType="begin"/>
      </w:r>
      <w:r>
        <w:rPr>
          <w:sz w:val="24"/>
          <w:szCs w:val="24"/>
        </w:rPr>
        <w:instrText xml:space="preserve"> PAGEREF _Toc10579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"_Toc25288" </w:instrText>
      </w:r>
      <w:r>
        <w:fldChar w:fldCharType="separate"/>
      </w:r>
      <w:r>
        <w:rPr>
          <w:rFonts w:ascii="Times New Roman" w:hAnsi="Times New Roman" w:eastAsia="微软雅黑"/>
        </w:rPr>
        <w:t>第</w:t>
      </w:r>
      <w:r>
        <w:rPr>
          <w:rFonts w:hint="eastAsia" w:ascii="Times New Roman" w:hAnsi="Times New Roman" w:eastAsia="微软雅黑"/>
        </w:rPr>
        <w:t>三</w:t>
      </w:r>
      <w:r>
        <w:rPr>
          <w:rFonts w:ascii="Times New Roman" w:hAnsi="Times New Roman" w:eastAsia="微软雅黑"/>
        </w:rPr>
        <w:t>章 规划总则</w:t>
      </w:r>
      <w:r>
        <w:tab/>
      </w:r>
      <w:r>
        <w:fldChar w:fldCharType="begin"/>
      </w:r>
      <w:r>
        <w:instrText xml:space="preserve"> PAGEREF _Toc25288 </w:instrText>
      </w:r>
      <w:r>
        <w:fldChar w:fldCharType="separate"/>
      </w:r>
      <w:r>
        <w:t>16</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"_Toc11709" </w:instrText>
      </w:r>
      <w:r>
        <w:fldChar w:fldCharType="separate"/>
      </w:r>
      <w:r>
        <w:rPr>
          <w:rFonts w:ascii="Times New Roman" w:hAnsi="Times New Roman" w:eastAsia="微软雅黑" w:cs="Times New Roman"/>
          <w:sz w:val="24"/>
          <w:szCs w:val="24"/>
        </w:rPr>
        <w:t>一、指导思想</w:t>
      </w:r>
      <w:r>
        <w:rPr>
          <w:sz w:val="24"/>
          <w:szCs w:val="24"/>
        </w:rPr>
        <w:tab/>
      </w:r>
      <w:r>
        <w:rPr>
          <w:sz w:val="24"/>
          <w:szCs w:val="24"/>
        </w:rPr>
        <w:fldChar w:fldCharType="begin"/>
      </w:r>
      <w:r>
        <w:rPr>
          <w:sz w:val="24"/>
          <w:szCs w:val="24"/>
        </w:rPr>
        <w:instrText xml:space="preserve"> PAGEREF _Toc11709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"_Toc17365" </w:instrText>
      </w:r>
      <w:r>
        <w:fldChar w:fldCharType="separate"/>
      </w:r>
      <w:r>
        <w:rPr>
          <w:rFonts w:ascii="Times New Roman" w:hAnsi="Times New Roman" w:eastAsia="微软雅黑" w:cs="Times New Roman"/>
          <w:sz w:val="24"/>
          <w:szCs w:val="24"/>
        </w:rPr>
        <w:t>二、基本原则</w:t>
      </w:r>
      <w:r>
        <w:rPr>
          <w:sz w:val="24"/>
          <w:szCs w:val="24"/>
        </w:rPr>
        <w:tab/>
      </w:r>
      <w:r>
        <w:rPr>
          <w:sz w:val="24"/>
          <w:szCs w:val="24"/>
        </w:rPr>
        <w:fldChar w:fldCharType="begin"/>
      </w:r>
      <w:r>
        <w:rPr>
          <w:sz w:val="24"/>
          <w:szCs w:val="24"/>
        </w:rPr>
        <w:instrText xml:space="preserve"> PAGEREF _Toc17365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"_Toc17875" </w:instrText>
      </w:r>
      <w:r>
        <w:fldChar w:fldCharType="separate"/>
      </w:r>
      <w:r>
        <w:rPr>
          <w:rFonts w:ascii="Times New Roman" w:hAnsi="Times New Roman" w:eastAsia="微软雅黑" w:cs="Times New Roman"/>
          <w:sz w:val="24"/>
          <w:szCs w:val="24"/>
        </w:rPr>
        <w:t>三、规划依据</w:t>
      </w:r>
      <w:r>
        <w:rPr>
          <w:sz w:val="24"/>
          <w:szCs w:val="24"/>
        </w:rPr>
        <w:tab/>
      </w:r>
      <w:r>
        <w:rPr>
          <w:sz w:val="24"/>
          <w:szCs w:val="24"/>
        </w:rPr>
        <w:fldChar w:fldCharType="begin"/>
      </w:r>
      <w:r>
        <w:rPr>
          <w:sz w:val="24"/>
          <w:szCs w:val="24"/>
        </w:rPr>
        <w:instrText xml:space="preserve"> PAGEREF _Toc17875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"_Toc14199" </w:instrText>
      </w:r>
      <w:r>
        <w:fldChar w:fldCharType="separate"/>
      </w:r>
      <w:r>
        <w:rPr>
          <w:rFonts w:ascii="Times New Roman" w:hAnsi="Times New Roman" w:eastAsia="微软雅黑" w:cs="Times New Roman"/>
          <w:sz w:val="24"/>
          <w:szCs w:val="24"/>
        </w:rPr>
        <w:t>四、规划期限</w:t>
      </w:r>
      <w:r>
        <w:rPr>
          <w:sz w:val="24"/>
          <w:szCs w:val="24"/>
        </w:rPr>
        <w:tab/>
      </w:r>
      <w:r>
        <w:rPr>
          <w:sz w:val="24"/>
          <w:szCs w:val="24"/>
        </w:rPr>
        <w:fldChar w:fldCharType="begin"/>
      </w:r>
      <w:r>
        <w:rPr>
          <w:sz w:val="24"/>
          <w:szCs w:val="24"/>
        </w:rPr>
        <w:instrText xml:space="preserve"> PAGEREF _Toc14199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"_Toc28259" </w:instrText>
      </w:r>
      <w:r>
        <w:fldChar w:fldCharType="separate"/>
      </w:r>
      <w:r>
        <w:rPr>
          <w:rFonts w:ascii="Times New Roman" w:hAnsi="Times New Roman" w:eastAsia="微软雅黑" w:cs="Times New Roman"/>
          <w:sz w:val="24"/>
          <w:szCs w:val="24"/>
        </w:rPr>
        <w:t>五、规划目标</w:t>
      </w:r>
      <w:r>
        <w:rPr>
          <w:sz w:val="24"/>
          <w:szCs w:val="24"/>
        </w:rPr>
        <w:tab/>
      </w:r>
      <w:r>
        <w:rPr>
          <w:sz w:val="24"/>
          <w:szCs w:val="24"/>
        </w:rPr>
        <w:fldChar w:fldCharType="begin"/>
      </w:r>
      <w:r>
        <w:rPr>
          <w:sz w:val="24"/>
          <w:szCs w:val="24"/>
        </w:rPr>
        <w:instrText xml:space="preserve"> PAGEREF _Toc28259 </w:instrText>
      </w:r>
      <w:r>
        <w:rPr>
          <w:sz w:val="24"/>
          <w:szCs w:val="24"/>
        </w:rPr>
        <w:fldChar w:fldCharType="separate"/>
      </w:r>
      <w:r>
        <w:rPr>
          <w:sz w:val="24"/>
          <w:szCs w:val="24"/>
        </w:rPr>
        <w:t>20</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"_Toc3587" </w:instrText>
      </w:r>
      <w:r>
        <w:fldChar w:fldCharType="separate"/>
      </w:r>
      <w:r>
        <w:rPr>
          <w:rFonts w:ascii="Times New Roman" w:hAnsi="Times New Roman" w:eastAsia="微软雅黑"/>
        </w:rPr>
        <w:t>第</w:t>
      </w:r>
      <w:r>
        <w:rPr>
          <w:rFonts w:hint="eastAsia" w:ascii="Times New Roman" w:hAnsi="Times New Roman" w:eastAsia="微软雅黑"/>
        </w:rPr>
        <w:t>四</w:t>
      </w:r>
      <w:r>
        <w:rPr>
          <w:rFonts w:ascii="Times New Roman" w:hAnsi="Times New Roman" w:eastAsia="微软雅黑"/>
        </w:rPr>
        <w:t>章 体系结构与分区</w:t>
      </w:r>
      <w:r>
        <w:tab/>
      </w:r>
      <w:r>
        <w:fldChar w:fldCharType="begin"/>
      </w:r>
      <w:r>
        <w:instrText xml:space="preserve"> PAGEREF _Toc3587 </w:instrText>
      </w:r>
      <w:r>
        <w:fldChar w:fldCharType="separate"/>
      </w:r>
      <w:r>
        <w:t>22</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"_Toc27176" </w:instrText>
      </w:r>
      <w:r>
        <w:fldChar w:fldCharType="separate"/>
      </w:r>
      <w:r>
        <w:rPr>
          <w:rFonts w:ascii="Times New Roman" w:hAnsi="Times New Roman" w:eastAsia="微软雅黑" w:cs="Times New Roman"/>
          <w:sz w:val="24"/>
          <w:szCs w:val="24"/>
        </w:rPr>
        <w:t>一、体系结构</w:t>
      </w:r>
      <w:r>
        <w:rPr>
          <w:sz w:val="24"/>
          <w:szCs w:val="24"/>
        </w:rPr>
        <w:tab/>
      </w:r>
      <w:r>
        <w:rPr>
          <w:sz w:val="24"/>
          <w:szCs w:val="24"/>
        </w:rPr>
        <w:fldChar w:fldCharType="begin"/>
      </w:r>
      <w:r>
        <w:rPr>
          <w:sz w:val="24"/>
          <w:szCs w:val="24"/>
        </w:rPr>
        <w:instrText xml:space="preserve"> PAGEREF _Toc27176 </w:instrText>
      </w:r>
      <w:r>
        <w:rPr>
          <w:sz w:val="24"/>
          <w:szCs w:val="24"/>
        </w:rPr>
        <w:fldChar w:fldCharType="separate"/>
      </w:r>
      <w:r>
        <w:rPr>
          <w:sz w:val="24"/>
          <w:szCs w:val="24"/>
        </w:rPr>
        <w:t>22</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"_Toc19487" </w:instrText>
      </w:r>
      <w:r>
        <w:fldChar w:fldCharType="separate"/>
      </w:r>
      <w:r>
        <w:rPr>
          <w:rFonts w:ascii="Times New Roman" w:hAnsi="Times New Roman" w:eastAsia="微软雅黑" w:cs="Times New Roman"/>
          <w:sz w:val="24"/>
          <w:szCs w:val="24"/>
        </w:rPr>
        <w:t>二、</w:t>
      </w:r>
      <w:r>
        <w:rPr>
          <w:rFonts w:hint="eastAsia" w:ascii="Times New Roman" w:hAnsi="Times New Roman" w:eastAsia="微软雅黑" w:cs="Times New Roman"/>
          <w:sz w:val="24"/>
          <w:szCs w:val="24"/>
        </w:rPr>
        <w:t>分区规划</w:t>
      </w:r>
      <w:r>
        <w:rPr>
          <w:sz w:val="24"/>
          <w:szCs w:val="24"/>
        </w:rPr>
        <w:tab/>
      </w:r>
      <w:r>
        <w:rPr>
          <w:sz w:val="24"/>
          <w:szCs w:val="24"/>
        </w:rPr>
        <w:fldChar w:fldCharType="begin"/>
      </w:r>
      <w:r>
        <w:rPr>
          <w:sz w:val="24"/>
          <w:szCs w:val="24"/>
        </w:rPr>
        <w:instrText xml:space="preserve"> PAGEREF _Toc19487 </w:instrText>
      </w:r>
      <w:r>
        <w:rPr>
          <w:sz w:val="24"/>
          <w:szCs w:val="24"/>
        </w:rPr>
        <w:fldChar w:fldCharType="separate"/>
      </w:r>
      <w:r>
        <w:rPr>
          <w:sz w:val="24"/>
          <w:szCs w:val="24"/>
        </w:rPr>
        <w:t>23</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"_Toc3254" </w:instrText>
      </w:r>
      <w:r>
        <w:fldChar w:fldCharType="separate"/>
      </w:r>
      <w:r>
        <w:rPr>
          <w:rFonts w:ascii="Times New Roman" w:hAnsi="Times New Roman" w:eastAsia="微软雅黑"/>
        </w:rPr>
        <w:t>第</w:t>
      </w:r>
      <w:r>
        <w:rPr>
          <w:rFonts w:hint="eastAsia" w:ascii="Times New Roman" w:hAnsi="Times New Roman" w:eastAsia="微软雅黑"/>
        </w:rPr>
        <w:t>五</w:t>
      </w:r>
      <w:r>
        <w:rPr>
          <w:rFonts w:ascii="Times New Roman" w:hAnsi="Times New Roman" w:eastAsia="微软雅黑"/>
        </w:rPr>
        <w:t>章 工程建设内容与任务</w:t>
      </w:r>
      <w:r>
        <w:tab/>
      </w:r>
      <w:r>
        <w:fldChar w:fldCharType="begin"/>
      </w:r>
      <w:r>
        <w:instrText xml:space="preserve"> PAGEREF _Toc3254 </w:instrText>
      </w:r>
      <w:r>
        <w:fldChar w:fldCharType="separate"/>
      </w:r>
      <w:r>
        <w:t>25</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"_Toc31342" </w:instrText>
      </w:r>
      <w:r>
        <w:fldChar w:fldCharType="separate"/>
      </w:r>
      <w:r>
        <w:rPr>
          <w:rFonts w:ascii="Times New Roman" w:hAnsi="Times New Roman" w:eastAsia="微软雅黑" w:cs="Times New Roman"/>
          <w:sz w:val="24"/>
          <w:szCs w:val="24"/>
        </w:rPr>
        <w:t>一、沿海基干林带建设</w:t>
      </w:r>
      <w:r>
        <w:rPr>
          <w:sz w:val="24"/>
          <w:szCs w:val="24"/>
        </w:rPr>
        <w:tab/>
      </w:r>
      <w:r>
        <w:rPr>
          <w:sz w:val="24"/>
          <w:szCs w:val="24"/>
        </w:rPr>
        <w:fldChar w:fldCharType="begin"/>
      </w:r>
      <w:r>
        <w:rPr>
          <w:sz w:val="24"/>
          <w:szCs w:val="24"/>
        </w:rPr>
        <w:instrText xml:space="preserve"> PAGEREF _Toc31342 </w:instrText>
      </w:r>
      <w:r>
        <w:rPr>
          <w:sz w:val="24"/>
          <w:szCs w:val="24"/>
        </w:rPr>
        <w:fldChar w:fldCharType="separate"/>
      </w:r>
      <w:r>
        <w:rPr>
          <w:sz w:val="24"/>
          <w:szCs w:val="24"/>
        </w:rPr>
        <w:t>25</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"_Toc14850" </w:instrText>
      </w:r>
      <w:r>
        <w:fldChar w:fldCharType="separate"/>
      </w:r>
      <w:r>
        <w:rPr>
          <w:rFonts w:ascii="Times New Roman" w:hAnsi="Times New Roman" w:eastAsia="微软雅黑" w:cs="Times New Roman"/>
          <w:sz w:val="24"/>
          <w:szCs w:val="24"/>
        </w:rPr>
        <w:t>二、纵深防护林建设</w:t>
      </w:r>
      <w:r>
        <w:rPr>
          <w:sz w:val="24"/>
          <w:szCs w:val="24"/>
        </w:rPr>
        <w:tab/>
      </w:r>
      <w:r>
        <w:rPr>
          <w:sz w:val="24"/>
          <w:szCs w:val="24"/>
        </w:rPr>
        <w:fldChar w:fldCharType="begin"/>
      </w:r>
      <w:r>
        <w:rPr>
          <w:sz w:val="24"/>
          <w:szCs w:val="24"/>
        </w:rPr>
        <w:instrText xml:space="preserve"> PAGEREF _Toc14850 </w:instrText>
      </w:r>
      <w:r>
        <w:rPr>
          <w:sz w:val="24"/>
          <w:szCs w:val="24"/>
        </w:rPr>
        <w:fldChar w:fldCharType="separate"/>
      </w:r>
      <w:r>
        <w:rPr>
          <w:sz w:val="24"/>
          <w:szCs w:val="24"/>
        </w:rPr>
        <w:t>28</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"_Toc23426" </w:instrText>
      </w:r>
      <w:r>
        <w:fldChar w:fldCharType="separate"/>
      </w:r>
      <w:r>
        <w:rPr>
          <w:rFonts w:ascii="Times New Roman" w:hAnsi="Times New Roman" w:eastAsia="微软雅黑" w:cs="Times New Roman"/>
          <w:sz w:val="24"/>
          <w:szCs w:val="24"/>
        </w:rPr>
        <w:t>三、科技支撑体系建设</w:t>
      </w:r>
      <w:r>
        <w:rPr>
          <w:sz w:val="24"/>
          <w:szCs w:val="24"/>
        </w:rPr>
        <w:tab/>
      </w:r>
      <w:r>
        <w:rPr>
          <w:sz w:val="24"/>
          <w:szCs w:val="24"/>
        </w:rPr>
        <w:fldChar w:fldCharType="begin"/>
      </w:r>
      <w:r>
        <w:rPr>
          <w:sz w:val="24"/>
          <w:szCs w:val="24"/>
        </w:rPr>
        <w:instrText xml:space="preserve"> PAGEREF _Toc23426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"_Toc9981" </w:instrText>
      </w:r>
      <w:r>
        <w:fldChar w:fldCharType="separate"/>
      </w:r>
      <w:r>
        <w:rPr>
          <w:rFonts w:ascii="Times New Roman" w:hAnsi="Times New Roman" w:eastAsia="微软雅黑" w:cs="Times New Roman"/>
          <w:sz w:val="24"/>
          <w:szCs w:val="24"/>
        </w:rPr>
        <w:t>四、基础设施建设</w:t>
      </w:r>
      <w:r>
        <w:rPr>
          <w:sz w:val="24"/>
          <w:szCs w:val="24"/>
        </w:rPr>
        <w:tab/>
      </w:r>
      <w:r>
        <w:rPr>
          <w:sz w:val="24"/>
          <w:szCs w:val="24"/>
        </w:rPr>
        <w:fldChar w:fldCharType="begin"/>
      </w:r>
      <w:r>
        <w:rPr>
          <w:sz w:val="24"/>
          <w:szCs w:val="24"/>
        </w:rPr>
        <w:instrText xml:space="preserve"> PAGEREF _Toc9981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"_Toc651" </w:instrText>
      </w:r>
      <w:r>
        <w:fldChar w:fldCharType="separate"/>
      </w:r>
      <w:r>
        <w:rPr>
          <w:rFonts w:ascii="Times New Roman" w:hAnsi="Times New Roman" w:eastAsia="微软雅黑"/>
        </w:rPr>
        <w:t>第</w:t>
      </w:r>
      <w:r>
        <w:rPr>
          <w:rFonts w:hint="eastAsia" w:ascii="Times New Roman" w:hAnsi="Times New Roman" w:eastAsia="微软雅黑"/>
        </w:rPr>
        <w:t>六</w:t>
      </w:r>
      <w:r>
        <w:rPr>
          <w:rFonts w:ascii="Times New Roman" w:hAnsi="Times New Roman" w:eastAsia="微软雅黑"/>
        </w:rPr>
        <w:t>章 工程建设重点</w:t>
      </w:r>
      <w:r>
        <w:tab/>
      </w:r>
      <w:r>
        <w:fldChar w:fldCharType="begin"/>
      </w:r>
      <w:r>
        <w:instrText xml:space="preserve"> PAGEREF _Toc651 </w:instrText>
      </w:r>
      <w:r>
        <w:fldChar w:fldCharType="separate"/>
      </w:r>
      <w:r>
        <w:t>34</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"_Toc3088" </w:instrText>
      </w:r>
      <w:r>
        <w:fldChar w:fldCharType="separate"/>
      </w:r>
      <w:r>
        <w:rPr>
          <w:rFonts w:ascii="Times New Roman" w:hAnsi="Times New Roman" w:eastAsia="微软雅黑" w:cs="Times New Roman"/>
          <w:sz w:val="24"/>
          <w:szCs w:val="24"/>
        </w:rPr>
        <w:t>一、重点建设内容</w:t>
      </w:r>
      <w:r>
        <w:rPr>
          <w:sz w:val="24"/>
          <w:szCs w:val="24"/>
        </w:rPr>
        <w:tab/>
      </w:r>
      <w:r>
        <w:rPr>
          <w:sz w:val="24"/>
          <w:szCs w:val="24"/>
        </w:rPr>
        <w:fldChar w:fldCharType="begin"/>
      </w:r>
      <w:r>
        <w:rPr>
          <w:sz w:val="24"/>
          <w:szCs w:val="24"/>
        </w:rPr>
        <w:instrText xml:space="preserve"> PAGEREF _Toc3088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"_Toc22625" </w:instrText>
      </w:r>
      <w:r>
        <w:fldChar w:fldCharType="separate"/>
      </w:r>
      <w:r>
        <w:rPr>
          <w:rFonts w:ascii="Times New Roman" w:hAnsi="Times New Roman" w:eastAsia="微软雅黑" w:cs="Times New Roman"/>
          <w:sz w:val="24"/>
          <w:szCs w:val="24"/>
        </w:rPr>
        <w:t>二、重点建设区域</w:t>
      </w:r>
      <w:r>
        <w:rPr>
          <w:sz w:val="24"/>
          <w:szCs w:val="24"/>
        </w:rPr>
        <w:tab/>
      </w:r>
      <w:r>
        <w:rPr>
          <w:sz w:val="24"/>
          <w:szCs w:val="24"/>
        </w:rPr>
        <w:fldChar w:fldCharType="begin"/>
      </w:r>
      <w:r>
        <w:rPr>
          <w:sz w:val="24"/>
          <w:szCs w:val="24"/>
        </w:rPr>
        <w:instrText xml:space="preserve"> PAGEREF _Toc22625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"_Toc16515" </w:instrText>
      </w:r>
      <w:r>
        <w:fldChar w:fldCharType="separate"/>
      </w:r>
      <w:r>
        <w:rPr>
          <w:rFonts w:ascii="Times New Roman" w:hAnsi="Times New Roman" w:eastAsia="微软雅黑" w:cs="Times New Roman"/>
          <w:sz w:val="24"/>
          <w:szCs w:val="24"/>
        </w:rPr>
        <w:t>三、重点建设项目</w:t>
      </w:r>
      <w:r>
        <w:rPr>
          <w:sz w:val="24"/>
          <w:szCs w:val="24"/>
        </w:rPr>
        <w:tab/>
      </w:r>
      <w:r>
        <w:rPr>
          <w:sz w:val="24"/>
          <w:szCs w:val="24"/>
        </w:rPr>
        <w:fldChar w:fldCharType="begin"/>
      </w:r>
      <w:r>
        <w:rPr>
          <w:sz w:val="24"/>
          <w:szCs w:val="24"/>
        </w:rPr>
        <w:instrText xml:space="preserve"> PAGEREF _Toc16515 </w:instrText>
      </w:r>
      <w:r>
        <w:rPr>
          <w:sz w:val="24"/>
          <w:szCs w:val="24"/>
        </w:rPr>
        <w:fldChar w:fldCharType="separate"/>
      </w:r>
      <w:r>
        <w:rPr>
          <w:sz w:val="24"/>
          <w:szCs w:val="24"/>
        </w:rPr>
        <w:t>35</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"_Toc18891" </w:instrText>
      </w:r>
      <w:r>
        <w:fldChar w:fldCharType="separate"/>
      </w:r>
      <w:r>
        <w:rPr>
          <w:rFonts w:ascii="Times New Roman" w:hAnsi="Times New Roman" w:eastAsia="微软雅黑"/>
        </w:rPr>
        <w:t>第</w:t>
      </w:r>
      <w:r>
        <w:rPr>
          <w:rFonts w:hint="eastAsia" w:ascii="Times New Roman" w:hAnsi="Times New Roman" w:eastAsia="微软雅黑"/>
        </w:rPr>
        <w:t>七</w:t>
      </w:r>
      <w:r>
        <w:rPr>
          <w:rFonts w:ascii="Times New Roman" w:hAnsi="Times New Roman" w:eastAsia="微软雅黑"/>
        </w:rPr>
        <w:t>章 预期效益分析</w:t>
      </w:r>
      <w:r>
        <w:tab/>
      </w:r>
      <w:r>
        <w:fldChar w:fldCharType="begin"/>
      </w:r>
      <w:r>
        <w:instrText xml:space="preserve"> PAGEREF _Toc18891 </w:instrText>
      </w:r>
      <w:r>
        <w:fldChar w:fldCharType="separate"/>
      </w:r>
      <w:r>
        <w:t>40</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"_Toc11798" </w:instrText>
      </w:r>
      <w:r>
        <w:fldChar w:fldCharType="separate"/>
      </w:r>
      <w:r>
        <w:rPr>
          <w:rFonts w:ascii="Times New Roman" w:hAnsi="Times New Roman" w:eastAsia="微软雅黑" w:cs="Times New Roman"/>
          <w:sz w:val="24"/>
          <w:szCs w:val="24"/>
        </w:rPr>
        <w:t>一、生态效益</w:t>
      </w:r>
      <w:r>
        <w:rPr>
          <w:sz w:val="24"/>
          <w:szCs w:val="24"/>
        </w:rPr>
        <w:tab/>
      </w:r>
      <w:r>
        <w:rPr>
          <w:sz w:val="24"/>
          <w:szCs w:val="24"/>
        </w:rPr>
        <w:fldChar w:fldCharType="begin"/>
      </w:r>
      <w:r>
        <w:rPr>
          <w:sz w:val="24"/>
          <w:szCs w:val="24"/>
        </w:rPr>
        <w:instrText xml:space="preserve"> PAGEREF _Toc11798 </w:instrText>
      </w:r>
      <w:r>
        <w:rPr>
          <w:sz w:val="24"/>
          <w:szCs w:val="24"/>
        </w:rPr>
        <w:fldChar w:fldCharType="separate"/>
      </w:r>
      <w:r>
        <w:rPr>
          <w:sz w:val="24"/>
          <w:szCs w:val="24"/>
        </w:rPr>
        <w:t>40</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"_Toc28993" </w:instrText>
      </w:r>
      <w:r>
        <w:fldChar w:fldCharType="separate"/>
      </w:r>
      <w:r>
        <w:rPr>
          <w:rFonts w:ascii="Times New Roman" w:hAnsi="Times New Roman" w:eastAsia="微软雅黑" w:cs="Times New Roman"/>
          <w:sz w:val="24"/>
          <w:szCs w:val="24"/>
        </w:rPr>
        <w:t>二、社会效益</w:t>
      </w:r>
      <w:r>
        <w:rPr>
          <w:sz w:val="24"/>
          <w:szCs w:val="24"/>
        </w:rPr>
        <w:tab/>
      </w:r>
      <w:r>
        <w:rPr>
          <w:sz w:val="24"/>
          <w:szCs w:val="24"/>
        </w:rPr>
        <w:fldChar w:fldCharType="begin"/>
      </w:r>
      <w:r>
        <w:rPr>
          <w:sz w:val="24"/>
          <w:szCs w:val="24"/>
        </w:rPr>
        <w:instrText xml:space="preserve"> PAGEREF _Toc28993 </w:instrText>
      </w:r>
      <w:r>
        <w:rPr>
          <w:sz w:val="24"/>
          <w:szCs w:val="24"/>
        </w:rPr>
        <w:fldChar w:fldCharType="separate"/>
      </w:r>
      <w:r>
        <w:rPr>
          <w:sz w:val="24"/>
          <w:szCs w:val="24"/>
        </w:rPr>
        <w:t>41</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"_Toc17995" </w:instrText>
      </w:r>
      <w:r>
        <w:fldChar w:fldCharType="separate"/>
      </w:r>
      <w:r>
        <w:rPr>
          <w:rFonts w:ascii="Times New Roman" w:hAnsi="Times New Roman" w:eastAsia="微软雅黑" w:cs="Times New Roman"/>
          <w:sz w:val="24"/>
          <w:szCs w:val="24"/>
        </w:rPr>
        <w:t>三、经济效益</w:t>
      </w:r>
      <w:r>
        <w:rPr>
          <w:sz w:val="24"/>
          <w:szCs w:val="24"/>
        </w:rPr>
        <w:tab/>
      </w:r>
      <w:r>
        <w:rPr>
          <w:sz w:val="24"/>
          <w:szCs w:val="24"/>
        </w:rPr>
        <w:fldChar w:fldCharType="begin"/>
      </w:r>
      <w:r>
        <w:rPr>
          <w:sz w:val="24"/>
          <w:szCs w:val="24"/>
        </w:rPr>
        <w:instrText xml:space="preserve"> PAGEREF _Toc17995 </w:instrText>
      </w:r>
      <w:r>
        <w:rPr>
          <w:sz w:val="24"/>
          <w:szCs w:val="24"/>
        </w:rPr>
        <w:fldChar w:fldCharType="separate"/>
      </w:r>
      <w:r>
        <w:rPr>
          <w:sz w:val="24"/>
          <w:szCs w:val="24"/>
        </w:rPr>
        <w:t>42</w:t>
      </w:r>
      <w:r>
        <w:rPr>
          <w:sz w:val="24"/>
          <w:szCs w:val="24"/>
        </w:rPr>
        <w:fldChar w:fldCharType="end"/>
      </w:r>
      <w:r>
        <w:rPr>
          <w:sz w:val="24"/>
          <w:szCs w:val="24"/>
        </w:rPr>
        <w:fldChar w:fldCharType="end"/>
      </w:r>
    </w:p>
    <w:p>
      <w:pPr>
        <w:pStyle w:val="14"/>
        <w:tabs>
          <w:tab w:val="right" w:leader="dot" w:pos="8306"/>
          <w:tab w:val="clear" w:pos="8296"/>
        </w:tabs>
        <w:spacing w:line="460" w:lineRule="exact"/>
      </w:pPr>
      <w:r>
        <w:fldChar w:fldCharType="begin"/>
      </w:r>
      <w:r>
        <w:instrText xml:space="preserve"> HYPERLINK \l "_Toc24440" </w:instrText>
      </w:r>
      <w:r>
        <w:fldChar w:fldCharType="separate"/>
      </w:r>
      <w:r>
        <w:rPr>
          <w:rFonts w:ascii="Times New Roman" w:hAnsi="Times New Roman" w:eastAsia="微软雅黑"/>
        </w:rPr>
        <w:t>第</w:t>
      </w:r>
      <w:r>
        <w:rPr>
          <w:rFonts w:hint="eastAsia" w:ascii="Times New Roman" w:hAnsi="Times New Roman" w:eastAsia="微软雅黑"/>
        </w:rPr>
        <w:t>八</w:t>
      </w:r>
      <w:r>
        <w:rPr>
          <w:rFonts w:ascii="Times New Roman" w:hAnsi="Times New Roman" w:eastAsia="微软雅黑"/>
        </w:rPr>
        <w:t>章 保障措施</w:t>
      </w:r>
      <w:r>
        <w:tab/>
      </w:r>
      <w:r>
        <w:fldChar w:fldCharType="begin"/>
      </w:r>
      <w:r>
        <w:instrText xml:space="preserve"> PAGEREF _Toc24440 </w:instrText>
      </w:r>
      <w:r>
        <w:fldChar w:fldCharType="separate"/>
      </w:r>
      <w:r>
        <w:t>43</w:t>
      </w:r>
      <w:r>
        <w:fldChar w:fldCharType="end"/>
      </w:r>
      <w: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"_Toc12096" </w:instrText>
      </w:r>
      <w:r>
        <w:fldChar w:fldCharType="separate"/>
      </w:r>
      <w:r>
        <w:rPr>
          <w:rFonts w:ascii="Times New Roman" w:hAnsi="Times New Roman" w:eastAsia="微软雅黑" w:cs="Times New Roman"/>
          <w:sz w:val="24"/>
          <w:szCs w:val="24"/>
        </w:rPr>
        <w:t>一、组织保障</w:t>
      </w:r>
      <w:r>
        <w:rPr>
          <w:sz w:val="24"/>
          <w:szCs w:val="24"/>
        </w:rPr>
        <w:tab/>
      </w:r>
      <w:r>
        <w:rPr>
          <w:sz w:val="24"/>
          <w:szCs w:val="24"/>
        </w:rPr>
        <w:fldChar w:fldCharType="begin"/>
      </w:r>
      <w:r>
        <w:rPr>
          <w:sz w:val="24"/>
          <w:szCs w:val="24"/>
        </w:rPr>
        <w:instrText xml:space="preserve"> PAGEREF _Toc12096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"_Toc367" </w:instrText>
      </w:r>
      <w:r>
        <w:fldChar w:fldCharType="separate"/>
      </w:r>
      <w:r>
        <w:rPr>
          <w:rFonts w:hint="eastAsia" w:ascii="Times New Roman" w:hAnsi="Times New Roman" w:eastAsia="微软雅黑" w:cs="Times New Roman"/>
          <w:sz w:val="24"/>
          <w:szCs w:val="24"/>
        </w:rPr>
        <w:t>二、用地</w:t>
      </w:r>
      <w:r>
        <w:rPr>
          <w:rFonts w:ascii="Times New Roman" w:hAnsi="Times New Roman" w:eastAsia="微软雅黑" w:cs="Times New Roman"/>
          <w:sz w:val="24"/>
          <w:szCs w:val="24"/>
        </w:rPr>
        <w:t>保障</w:t>
      </w:r>
      <w:r>
        <w:rPr>
          <w:sz w:val="24"/>
          <w:szCs w:val="24"/>
        </w:rPr>
        <w:tab/>
      </w:r>
      <w:r>
        <w:rPr>
          <w:sz w:val="24"/>
          <w:szCs w:val="24"/>
        </w:rPr>
        <w:fldChar w:fldCharType="begin"/>
      </w:r>
      <w:r>
        <w:rPr>
          <w:sz w:val="24"/>
          <w:szCs w:val="24"/>
        </w:rPr>
        <w:instrText xml:space="preserve"> PAGEREF _Toc367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"_Toc19456" </w:instrText>
      </w:r>
      <w:r>
        <w:fldChar w:fldCharType="separate"/>
      </w:r>
      <w:r>
        <w:rPr>
          <w:rFonts w:hint="eastAsia" w:ascii="Times New Roman" w:hAnsi="Times New Roman" w:eastAsia="微软雅黑" w:cs="Times New Roman"/>
          <w:sz w:val="24"/>
          <w:szCs w:val="24"/>
        </w:rPr>
        <w:t>三、资金保障</w:t>
      </w:r>
      <w:r>
        <w:rPr>
          <w:sz w:val="24"/>
          <w:szCs w:val="24"/>
        </w:rPr>
        <w:tab/>
      </w:r>
      <w:r>
        <w:rPr>
          <w:sz w:val="24"/>
          <w:szCs w:val="24"/>
        </w:rPr>
        <w:fldChar w:fldCharType="begin"/>
      </w:r>
      <w:r>
        <w:rPr>
          <w:sz w:val="24"/>
          <w:szCs w:val="24"/>
        </w:rPr>
        <w:instrText xml:space="preserve"> PAGEREF _Toc19456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"_Toc22496" </w:instrText>
      </w:r>
      <w:r>
        <w:fldChar w:fldCharType="separate"/>
      </w:r>
      <w:r>
        <w:rPr>
          <w:rFonts w:ascii="Times New Roman" w:hAnsi="Times New Roman" w:eastAsia="微软雅黑" w:cs="Times New Roman"/>
          <w:sz w:val="24"/>
          <w:szCs w:val="24"/>
        </w:rPr>
        <w:t>四、科技保障</w:t>
      </w:r>
      <w:r>
        <w:rPr>
          <w:sz w:val="24"/>
          <w:szCs w:val="24"/>
        </w:rPr>
        <w:tab/>
      </w:r>
      <w:r>
        <w:rPr>
          <w:sz w:val="24"/>
          <w:szCs w:val="24"/>
        </w:rPr>
        <w:fldChar w:fldCharType="begin"/>
      </w:r>
      <w:r>
        <w:rPr>
          <w:sz w:val="24"/>
          <w:szCs w:val="24"/>
        </w:rPr>
        <w:instrText xml:space="preserve"> PAGEREF _Toc22496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"_Toc9398" </w:instrText>
      </w:r>
      <w:r>
        <w:fldChar w:fldCharType="separate"/>
      </w:r>
      <w:r>
        <w:rPr>
          <w:rFonts w:hint="eastAsia" w:ascii="Times New Roman" w:hAnsi="Times New Roman" w:eastAsia="微软雅黑" w:cs="Times New Roman"/>
          <w:sz w:val="24"/>
          <w:szCs w:val="24"/>
        </w:rPr>
        <w:t>五、</w:t>
      </w:r>
      <w:r>
        <w:rPr>
          <w:rFonts w:ascii="Times New Roman" w:hAnsi="Times New Roman" w:eastAsia="微软雅黑" w:cs="Times New Roman"/>
          <w:sz w:val="24"/>
          <w:szCs w:val="24"/>
        </w:rPr>
        <w:t>政策保障</w:t>
      </w:r>
      <w:r>
        <w:rPr>
          <w:sz w:val="24"/>
          <w:szCs w:val="24"/>
        </w:rPr>
        <w:tab/>
      </w:r>
      <w:r>
        <w:rPr>
          <w:sz w:val="24"/>
          <w:szCs w:val="24"/>
        </w:rPr>
        <w:fldChar w:fldCharType="begin"/>
      </w:r>
      <w:r>
        <w:rPr>
          <w:sz w:val="24"/>
          <w:szCs w:val="24"/>
        </w:rPr>
        <w:instrText xml:space="preserve"> PAGEREF _Toc9398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5"/>
        <w:tabs>
          <w:tab w:val="right" w:leader="dot" w:pos="8306"/>
          <w:tab w:val="clear" w:pos="8296"/>
        </w:tabs>
        <w:spacing w:line="460" w:lineRule="exact"/>
        <w:rPr>
          <w:sz w:val="24"/>
          <w:szCs w:val="24"/>
        </w:rPr>
      </w:pPr>
      <w:r>
        <w:fldChar w:fldCharType="begin"/>
      </w:r>
      <w:r>
        <w:instrText xml:space="preserve"> HYPERLINK \l "_Toc4930" </w:instrText>
      </w:r>
      <w:r>
        <w:fldChar w:fldCharType="separate"/>
      </w:r>
      <w:r>
        <w:rPr>
          <w:rFonts w:hint="eastAsia" w:ascii="Times New Roman" w:hAnsi="Times New Roman" w:eastAsia="微软雅黑" w:cs="Times New Roman"/>
          <w:sz w:val="24"/>
          <w:szCs w:val="24"/>
        </w:rPr>
        <w:t>六、宣传保障</w:t>
      </w:r>
      <w:r>
        <w:rPr>
          <w:sz w:val="24"/>
          <w:szCs w:val="24"/>
        </w:rPr>
        <w:tab/>
      </w:r>
      <w:r>
        <w:rPr>
          <w:sz w:val="24"/>
          <w:szCs w:val="24"/>
        </w:rPr>
        <w:fldChar w:fldCharType="begin"/>
      </w:r>
      <w:r>
        <w:rPr>
          <w:sz w:val="24"/>
          <w:szCs w:val="24"/>
        </w:rPr>
        <w:instrText xml:space="preserve"> PAGEREF _Toc4930 </w:instrText>
      </w:r>
      <w:r>
        <w:rPr>
          <w:sz w:val="24"/>
          <w:szCs w:val="24"/>
        </w:rPr>
        <w:fldChar w:fldCharType="separate"/>
      </w:r>
      <w:r>
        <w:rPr>
          <w:sz w:val="24"/>
          <w:szCs w:val="24"/>
        </w:rPr>
        <w:t>45</w:t>
      </w:r>
      <w:r>
        <w:rPr>
          <w:sz w:val="24"/>
          <w:szCs w:val="24"/>
        </w:rPr>
        <w:fldChar w:fldCharType="end"/>
      </w:r>
      <w:r>
        <w:rPr>
          <w:sz w:val="24"/>
          <w:szCs w:val="24"/>
        </w:rPr>
        <w:fldChar w:fldCharType="end"/>
      </w:r>
    </w:p>
    <w:p>
      <w:pPr>
        <w:spacing w:line="460" w:lineRule="exact"/>
        <w:ind w:firstLine="539"/>
        <w:rPr>
          <w:rFonts w:ascii="Times New Roman" w:hAnsi="Times New Roman" w:cs="Times New Roman"/>
          <w:bCs/>
          <w:sz w:val="24"/>
          <w:szCs w:val="24"/>
        </w:rPr>
      </w:pPr>
      <w:r>
        <w:rPr>
          <w:rFonts w:ascii="Times New Roman" w:hAnsi="Times New Roman" w:cs="Times New Roman"/>
          <w:bCs/>
          <w:sz w:val="24"/>
          <w:szCs w:val="24"/>
        </w:rPr>
        <w:fldChar w:fldCharType="end"/>
      </w:r>
    </w:p>
    <w:p>
      <w:pPr>
        <w:spacing w:line="460" w:lineRule="exact"/>
        <w:rPr>
          <w:rFonts w:ascii="微软雅黑" w:hAnsi="微软雅黑" w:eastAsia="微软雅黑" w:cs="微软雅黑"/>
          <w:b/>
          <w:sz w:val="24"/>
          <w:szCs w:val="24"/>
        </w:rPr>
      </w:pPr>
      <w:r>
        <w:rPr>
          <w:rFonts w:hint="eastAsia" w:ascii="微软雅黑" w:hAnsi="微软雅黑" w:eastAsia="微软雅黑" w:cs="微软雅黑"/>
          <w:b/>
          <w:sz w:val="24"/>
          <w:szCs w:val="24"/>
        </w:rPr>
        <w:t>附表：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1、福建省沿海防护林体系建设工程范围一览表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2、福建省沿海防护林体系建设工程区基本情况调查统计表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3、福建省沿海防护林体系建设工程区各类土地面积调查统计表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4、福建省沿海防护林体系建设工程区基干林带现状调查统计表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5、福建省沿海防护林体系建设工程类型区范围一览表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6、福建省沿海防护林体系建设工程规划任务汇总表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7、福建省沿海防护林体系建设工程基干林带分级规划任务表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8、福建省沿海防护林体系建设工程纵深防护林规划任务表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9、福建省困难立地基干林带造林项目规划表</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10、福建省基干林带区位内退塘（耕）造林项目规划表</w:t>
      </w:r>
    </w:p>
    <w:p>
      <w:pPr>
        <w:spacing w:line="460" w:lineRule="exact"/>
        <w:rPr>
          <w:rFonts w:ascii="微软雅黑" w:hAnsi="微软雅黑" w:eastAsia="微软雅黑" w:cs="微软雅黑"/>
          <w:b/>
          <w:sz w:val="24"/>
          <w:szCs w:val="24"/>
        </w:rPr>
      </w:pPr>
    </w:p>
    <w:p>
      <w:pPr>
        <w:spacing w:line="460" w:lineRule="exact"/>
        <w:rPr>
          <w:rFonts w:ascii="微软雅黑" w:hAnsi="微软雅黑" w:eastAsia="微软雅黑" w:cs="微软雅黑"/>
          <w:b/>
          <w:sz w:val="24"/>
          <w:szCs w:val="24"/>
        </w:rPr>
      </w:pPr>
      <w:r>
        <w:rPr>
          <w:rFonts w:hint="eastAsia" w:ascii="微软雅黑" w:hAnsi="微软雅黑" w:eastAsia="微软雅黑" w:cs="微软雅黑"/>
          <w:b/>
          <w:sz w:val="24"/>
          <w:szCs w:val="24"/>
        </w:rPr>
        <w:t>附图：</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1、福建省沿海防护林体系建设工程范围示意图</w:t>
      </w:r>
    </w:p>
    <w:p>
      <w:pPr>
        <w:spacing w:line="460" w:lineRule="exact"/>
        <w:ind w:firstLine="480" w:firstLineChars="200"/>
        <w:rPr>
          <w:rFonts w:ascii="微软雅黑" w:hAnsi="微软雅黑" w:eastAsia="微软雅黑" w:cs="微软雅黑"/>
          <w:bCs/>
          <w:sz w:val="24"/>
          <w:szCs w:val="24"/>
        </w:rPr>
      </w:pPr>
      <w:r>
        <w:rPr>
          <w:rFonts w:hint="eastAsia" w:ascii="微软雅黑" w:hAnsi="微软雅黑" w:eastAsia="微软雅黑" w:cs="微软雅黑"/>
          <w:bCs/>
          <w:sz w:val="24"/>
          <w:szCs w:val="24"/>
        </w:rPr>
        <w:t>2、福建省沿海防护林体系建设工程分区示意图</w:t>
      </w:r>
    </w:p>
    <w:p>
      <w:pPr>
        <w:spacing w:line="460" w:lineRule="exact"/>
        <w:ind w:firstLine="480" w:firstLineChars="200"/>
        <w:rPr>
          <w:rFonts w:ascii="微软雅黑" w:hAnsi="微软雅黑" w:eastAsia="微软雅黑" w:cs="微软雅黑"/>
          <w:bCs/>
          <w:strike/>
          <w:sz w:val="24"/>
          <w:szCs w:val="24"/>
        </w:rPr>
        <w:sectPr>
          <w:footerReference r:id="rId4" w:type="default"/>
          <w:pgSz w:w="11906" w:h="16838"/>
          <w:pgMar w:top="1440" w:right="1800" w:bottom="1440" w:left="1800" w:header="851" w:footer="992" w:gutter="0"/>
          <w:pgNumType w:fmt="upperRoman" w:start="1"/>
          <w:cols w:space="425" w:num="1"/>
          <w:docGrid w:type="lines" w:linePitch="312" w:charSpace="0"/>
        </w:sectPr>
      </w:pPr>
    </w:p>
    <w:bookmarkEnd w:id="2"/>
    <w:p>
      <w:pPr>
        <w:pStyle w:val="2"/>
        <w:spacing w:beforeLines="100" w:afterLines="100" w:line="240" w:lineRule="auto"/>
        <w:jc w:val="center"/>
        <w:rPr>
          <w:rFonts w:ascii="Times New Roman" w:hAnsi="Times New Roman" w:eastAsia="微软雅黑" w:cs="Times New Roman"/>
          <w:sz w:val="32"/>
          <w:szCs w:val="32"/>
        </w:rPr>
      </w:pPr>
      <w:bookmarkStart w:id="3" w:name="_Toc11105"/>
      <w:r>
        <w:rPr>
          <w:rFonts w:ascii="Times New Roman" w:hAnsi="Times New Roman" w:eastAsia="微软雅黑" w:cs="Times New Roman"/>
          <w:sz w:val="32"/>
          <w:szCs w:val="32"/>
        </w:rPr>
        <w:t>第一章 总论</w:t>
      </w:r>
      <w:bookmarkEnd w:id="3"/>
    </w:p>
    <w:p>
      <w:pPr>
        <w:pStyle w:val="4"/>
        <w:spacing w:before="0" w:after="0" w:line="240" w:lineRule="auto"/>
        <w:ind w:firstLine="600" w:firstLineChars="200"/>
        <w:rPr>
          <w:rFonts w:ascii="Times New Roman" w:hAnsi="Times New Roman" w:eastAsia="微软雅黑" w:cs="Times New Roman"/>
          <w:sz w:val="30"/>
          <w:szCs w:val="30"/>
        </w:rPr>
      </w:pPr>
      <w:bookmarkStart w:id="4" w:name="_Toc11372"/>
      <w:bookmarkStart w:id="5" w:name="_Toc505330700"/>
      <w:r>
        <w:rPr>
          <w:rFonts w:ascii="Times New Roman" w:hAnsi="Times New Roman" w:eastAsia="微软雅黑" w:cs="Times New Roman"/>
          <w:sz w:val="30"/>
          <w:szCs w:val="30"/>
        </w:rPr>
        <w:t>一、工程规划背景</w:t>
      </w:r>
      <w:bookmarkEnd w:id="4"/>
      <w:bookmarkEnd w:id="5"/>
    </w:p>
    <w:p>
      <w:pPr>
        <w:spacing w:line="560" w:lineRule="exact"/>
        <w:ind w:firstLine="560" w:firstLineChars="200"/>
        <w:rPr>
          <w:rFonts w:hint="default" w:ascii="Times New Roman" w:hAnsi="Times New Roman" w:eastAsia="宋体" w:cs="Times New Roman"/>
          <w:sz w:val="28"/>
          <w:szCs w:val="28"/>
        </w:rPr>
      </w:pPr>
      <w:bookmarkStart w:id="6" w:name="_Toc505330701"/>
      <w:r>
        <w:rPr>
          <w:rFonts w:hint="default" w:ascii="Times New Roman" w:hAnsi="Times New Roman" w:eastAsia="宋体" w:cs="Times New Roman"/>
          <w:sz w:val="28"/>
          <w:szCs w:val="28"/>
        </w:rPr>
        <w:t>党的十八大以来，生态文明建设被列为建设中国特色社会主义“五位一体”总体布局之一。党的十九大报告中提出，要提供更多优质生态产品以满足人民日益增长的优美生态环境需要。建设生态文明对新时期林业发展提出了更高要求，发展现代林业是建设生态文明的主体和首要任务。沿海防护林作为福建省沿海绿色屏障，是沿海地区人民的“生命林”、“保安林”，是保障福建沿海经济繁荣和社会可持续发展的重要支撑。沿海防护林体系建设是福建生态省建设的重要组成部分，是福建林业融入新福建建设、实施乡村振兴战略、坚持高质量发展的重要内容，在建设林业生态高颜值、林业产业高素质、林区群众高福祉的新时代“三高”林业新蓝图中具有不可替代的作用。2014年11月，习近平总书记在平潭综合实验区考察时指出“防护林太重要了，优良的生态环境是真宝贝”，体现了</w:t>
      </w:r>
      <w:bookmarkStart w:id="89" w:name="_GoBack"/>
      <w:bookmarkEnd w:id="89"/>
      <w:r>
        <w:rPr>
          <w:rFonts w:hint="eastAsia" w:ascii="Times New Roman" w:hAnsi="Times New Roman" w:eastAsia="宋体" w:cs="Times New Roman"/>
          <w:sz w:val="28"/>
          <w:szCs w:val="28"/>
          <w:lang w:eastAsia="zh-CN"/>
        </w:rPr>
        <w:t>习近平</w:t>
      </w:r>
      <w:r>
        <w:rPr>
          <w:rFonts w:hint="default" w:ascii="Times New Roman" w:hAnsi="Times New Roman" w:eastAsia="宋体" w:cs="Times New Roman"/>
          <w:sz w:val="28"/>
          <w:szCs w:val="28"/>
        </w:rPr>
        <w:t>总书记对沿海防护林建设的高度重视和关心。</w:t>
      </w:r>
    </w:p>
    <w:p>
      <w:pPr>
        <w:spacing w:line="560" w:lineRule="exact"/>
        <w:ind w:firstLine="560" w:firstLineChars="200"/>
        <w:rPr>
          <w:rFonts w:hint="default" w:ascii="Times New Roman" w:hAnsi="Times New Roman" w:eastAsia="宋体" w:cs="Times New Roman"/>
          <w:sz w:val="28"/>
          <w:szCs w:val="28"/>
        </w:rPr>
      </w:pPr>
      <w:bookmarkStart w:id="7" w:name="_Toc21220"/>
      <w:r>
        <w:rPr>
          <w:rFonts w:hint="default" w:ascii="Times New Roman" w:hAnsi="Times New Roman" w:eastAsia="宋体" w:cs="Times New Roman"/>
          <w:sz w:val="28"/>
          <w:szCs w:val="28"/>
        </w:rPr>
        <w:t>1988年按照原国家林业部的统一部署，我省开始实施沿海防护林体系建设工程以来，沿海地区森林面积不断增加，森林质量不断提高，生态状况大为改善，沿海地区森林覆盖率由1988的35.0%提高至2015年的60.16%。2016-2018年省委、省政府将沿海基干林带建设列入为民办实事项目，3年完成沿海防护林建设面积50293公顷，其中，人工造林面积2905公顷，低效防护林改造面积35121公顷，封山育林面积12267公顷。沿海防护林体系建设为改善沿海地区生态环境，助力</w:t>
      </w:r>
      <w:r>
        <w:rPr>
          <w:rFonts w:hint="eastAsia" w:ascii="Times New Roman" w:hAnsi="Times New Roman" w:eastAsia="宋体" w:cs="Times New Roman"/>
          <w:sz w:val="28"/>
          <w:szCs w:val="28"/>
          <w:lang w:eastAsia="zh-CN"/>
        </w:rPr>
        <w:t>福建生态建</w:t>
      </w:r>
      <w:r>
        <w:rPr>
          <w:rFonts w:hint="default" w:ascii="Times New Roman" w:hAnsi="Times New Roman" w:eastAsia="宋体" w:cs="Times New Roman"/>
          <w:sz w:val="28"/>
          <w:szCs w:val="28"/>
        </w:rPr>
        <w:t>设作出巨大贡献，为实现全省社会经济发展提供强有力的生态支撑。但从总体上看，沿海防护林体系还不完善，林分质量不高，特别是基干林带宽度不足，基干林带造林地落实难，保护与发展矛盾突出，沿海防护林的综合防护效能仍然不强。</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为贯彻落实党中央关于“大力推进生态文明，建设美丽中国，实施重大生态修复工程”的决策部署，在总结前期工程建设</w:t>
      </w:r>
      <w:r>
        <w:rPr>
          <w:rFonts w:hint="eastAsia" w:ascii="Times New Roman" w:hAnsi="Times New Roman" w:eastAsia="宋体" w:cs="Times New Roman"/>
          <w:sz w:val="28"/>
          <w:szCs w:val="28"/>
          <w:lang w:eastAsia="zh-CN"/>
        </w:rPr>
        <w:t>成绩和经验</w:t>
      </w:r>
      <w:r>
        <w:rPr>
          <w:rFonts w:hint="default" w:ascii="Times New Roman" w:hAnsi="Times New Roman" w:eastAsia="宋体" w:cs="Times New Roman"/>
          <w:sz w:val="28"/>
          <w:szCs w:val="28"/>
        </w:rPr>
        <w:t>基础上，2014年，国家林业局启动《全国沿海防护林体系建设工程规划（2016-2025年）》编制工作。2017年5月，国家林业局、国家发展改革委员会下发了《关于印发&lt;全国沿海防护林体系建设工程规划（2016-2025年）的通知&gt;（林规发﹝2017﹞38号）》，要求沿海各省（市、区）按照规划要求，认真组织实施，确保规划目标如期实现。</w:t>
      </w:r>
    </w:p>
    <w:p>
      <w:pPr>
        <w:pStyle w:val="4"/>
        <w:spacing w:before="0" w:after="0" w:line="240" w:lineRule="auto"/>
        <w:ind w:firstLine="600" w:firstLineChars="200"/>
        <w:rPr>
          <w:rFonts w:ascii="Times New Roman" w:hAnsi="Times New Roman" w:cs="Times New Roman"/>
        </w:rPr>
      </w:pPr>
      <w:r>
        <w:rPr>
          <w:rFonts w:ascii="Times New Roman" w:hAnsi="Times New Roman" w:eastAsia="微软雅黑" w:cs="Times New Roman"/>
          <w:sz w:val="30"/>
          <w:szCs w:val="30"/>
        </w:rPr>
        <w:t>二、工程建设必要性</w:t>
      </w:r>
      <w:bookmarkEnd w:id="6"/>
      <w:bookmarkEnd w:id="7"/>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（一）落实绿色发展理念，提高生态承载能力的需要</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近年来，随着经济建设的持续发展，人口、资源、环境之间的矛盾日益突出，资源环境承载能力已成为制约沿海地区社会经济可持续发展的瓶颈。党的十九大指出，必须坚定不移贯彻创新、协调、绿色、开放共享的发展理念，必须树立和践行绿水青山就是金山银山的理念，为沿海地区转变经济增长方式提供了新的契机，也对沿海地区的生态环境建设提出了新的要求。面对新的发展机遇，沿海地区只有坚持绿色发展理念，强化生态环境建设，增加生态环境承载能力，才能全面落实好国家发展战略。继续实施沿海防护林体系建设工程，扩大沿海地区森林资源总量，提高森林资源质量，改善投资和旅游环境，是落实绿色发展理念，提高生态承载能力的必然选择。</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（二）强化防灾减灾功能，保障生命财产安全的需要</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经过数十年的不懈努力，福建省沿海防护林面积不断扩大，工程区森林资源逐年增长，生态环境明显改善，但我省是一个自然灾害频繁的省份，台风、风暴潮、泥石流等自然灾害每年都给福建省造成上百亿元的损失，特别是沿海地区的台风，每年直接登陆2~3次，造成影响的有7~8次，台风带来的大风和强降雨，经常引发泥石流和山洪暴发。如2015年8月，台风“苏迪罗”给福建省造成了严重的危害，受灾217.66万人，房屋倒塌0.69万间，因灾死亡7人，失踪3人，农作物受灾11.21万公顷，直接经济损失96.89亿元。沿海防护林具有消浪护岸、防风固沙、减灾增产，保护农田、村庄免受灾害等诸多功能，防灾减灾作用明显。因此，继续加大力度实施沿海防护林体系建设工程，对提升防护林的防灾减灾能力，保障人民生命财产安全具有重要作用。</w:t>
      </w:r>
    </w:p>
    <w:p>
      <w:pPr>
        <w:pStyle w:val="5"/>
        <w:spacing w:before="0" w:after="0" w:line="240" w:lineRule="auto"/>
        <w:ind w:firstLine="562" w:firstLineChars="200"/>
        <w:rPr>
          <w:rFonts w:hint="eastAsia" w:ascii="Times New Roman" w:hAnsi="Times New Roman" w:cs="Times New Roman"/>
          <w:color w:val="000000" w:themeColor="text1"/>
          <w:sz w:val="28"/>
          <w:szCs w:val="28"/>
        </w:rPr>
      </w:pPr>
      <w:r>
        <w:rPr>
          <w:rFonts w:ascii="Times New Roman" w:hAnsi="Times New Roman" w:cs="Times New Roman"/>
          <w:color w:val="000000" w:themeColor="text1"/>
          <w:sz w:val="28"/>
          <w:szCs w:val="28"/>
        </w:rPr>
        <w:t>（三）</w:t>
      </w:r>
      <w:r>
        <w:rPr>
          <w:rFonts w:hint="eastAsia" w:ascii="Times New Roman" w:hAnsi="Times New Roman" w:cs="Times New Roman"/>
          <w:color w:val="000000" w:themeColor="text1"/>
          <w:sz w:val="28"/>
          <w:szCs w:val="28"/>
        </w:rPr>
        <w:t>提供优质生态产品</w:t>
      </w:r>
      <w:r>
        <w:rPr>
          <w:rFonts w:ascii="Times New Roman" w:hAnsi="Times New Roman" w:cs="Times New Roman"/>
          <w:color w:val="000000" w:themeColor="text1"/>
          <w:sz w:val="28"/>
          <w:szCs w:val="28"/>
        </w:rPr>
        <w:t>，</w:t>
      </w:r>
      <w:r>
        <w:rPr>
          <w:rFonts w:hint="eastAsia" w:ascii="Times New Roman" w:hAnsi="Times New Roman" w:cs="Times New Roman"/>
          <w:color w:val="000000" w:themeColor="text1"/>
          <w:sz w:val="28"/>
          <w:szCs w:val="28"/>
          <w:lang w:val="en-US" w:eastAsia="zh-CN"/>
        </w:rPr>
        <w:t>推进生态文明</w:t>
      </w:r>
      <w:r>
        <w:rPr>
          <w:rFonts w:hint="default" w:ascii="Times New Roman" w:hAnsi="Times New Roman" w:cs="Times New Roman"/>
          <w:color w:val="000000" w:themeColor="text1"/>
          <w:sz w:val="28"/>
          <w:szCs w:val="28"/>
          <w:lang w:val="en-US" w:eastAsia="zh-CN"/>
        </w:rPr>
        <w:t>建设的需</w:t>
      </w:r>
      <w:r>
        <w:rPr>
          <w:rFonts w:hint="eastAsia" w:ascii="Times New Roman" w:hAnsi="Times New Roman" w:cs="Times New Roman"/>
          <w:color w:val="000000" w:themeColor="text1"/>
          <w:sz w:val="28"/>
          <w:szCs w:val="28"/>
        </w:rPr>
        <w:t>要</w:t>
      </w:r>
    </w:p>
    <w:p>
      <w:pPr>
        <w:spacing w:line="560" w:lineRule="exact"/>
        <w:ind w:firstLine="556"/>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沿海地区是我省经济发达、生活比较富裕的地区，人们对生态环境质量的要求较高，但一些地方缺林少林、森林景观不佳的情况仍然存在，与人民日益增长的美好生态环境的需求还有较大差距。森林生态系统具有涵养水源、净化水质、保育土壤、净化空气、调节气候、保护生物多样性等诸多功能，对改善生态环境和人居环境均具有重要作用。党的十八大以来，国家把生态文明建设放在突出地位，继续实施沿海防护林体系建设工程，进一步加快可造林地的造林绿化，推动沿海地区城市、城镇、村庄及公路、铁路、河渠、堤坝等绿化建设，加快沿海防护林的体系建设，是提供更多优质生态产品，满足沿海地区人民日益增长的优美生态环境需要，实现乡村振兴</w:t>
      </w:r>
      <w:r>
        <w:rPr>
          <w:rFonts w:hint="eastAsia" w:ascii="Times New Roman" w:hAnsi="Times New Roman" w:eastAsia="宋体" w:cs="Times New Roman"/>
          <w:color w:val="000000" w:themeColor="text1"/>
          <w:sz w:val="28"/>
          <w:szCs w:val="28"/>
          <w:lang w:eastAsia="zh-CN"/>
        </w:rPr>
        <w:t>的</w:t>
      </w:r>
      <w:r>
        <w:rPr>
          <w:rFonts w:hint="default" w:ascii="Times New Roman" w:hAnsi="Times New Roman" w:eastAsia="宋体" w:cs="Times New Roman"/>
          <w:color w:val="000000" w:themeColor="text1"/>
          <w:sz w:val="28"/>
          <w:szCs w:val="28"/>
        </w:rPr>
        <w:t>迫切需求。</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（四）增加森林碳汇储备，积极应对气候变化的需要</w:t>
      </w:r>
    </w:p>
    <w:p>
      <w:pPr>
        <w:spacing w:line="560" w:lineRule="exact"/>
        <w:ind w:firstLine="560" w:firstLineChars="200"/>
        <w:rPr>
          <w:rFonts w:ascii="Times New Roman" w:hAnsi="Times New Roman" w:cs="Times New Roman"/>
          <w:sz w:val="28"/>
          <w:szCs w:val="28"/>
        </w:rPr>
      </w:pPr>
      <w:r>
        <w:rPr>
          <w:rFonts w:hint="eastAsia" w:ascii="Times New Roman" w:hAnsi="Times New Roman" w:eastAsia="宋体" w:cs="Times New Roman"/>
          <w:sz w:val="28"/>
          <w:szCs w:val="28"/>
        </w:rPr>
        <w:t>当前地球温室效应明显</w:t>
      </w:r>
      <w:r>
        <w:rPr>
          <w:rFonts w:ascii="Times New Roman" w:hAnsi="Times New Roman" w:eastAsia="宋体" w:cs="Times New Roman"/>
          <w:sz w:val="28"/>
          <w:szCs w:val="28"/>
        </w:rPr>
        <w:t>，冰川融化</w:t>
      </w:r>
      <w:r>
        <w:rPr>
          <w:rFonts w:hint="eastAsia" w:ascii="Times New Roman" w:hAnsi="Times New Roman" w:eastAsia="宋体" w:cs="Times New Roman"/>
          <w:sz w:val="28"/>
          <w:szCs w:val="28"/>
        </w:rPr>
        <w:t>加快</w:t>
      </w:r>
      <w:r>
        <w:rPr>
          <w:rFonts w:ascii="Times New Roman" w:hAnsi="Times New Roman" w:eastAsia="宋体" w:cs="Times New Roman"/>
          <w:sz w:val="28"/>
          <w:szCs w:val="28"/>
        </w:rPr>
        <w:t>，海平面</w:t>
      </w:r>
      <w:r>
        <w:rPr>
          <w:rFonts w:hint="eastAsia" w:ascii="Times New Roman" w:hAnsi="Times New Roman" w:eastAsia="宋体" w:cs="Times New Roman"/>
          <w:sz w:val="28"/>
          <w:szCs w:val="28"/>
        </w:rPr>
        <w:t>渐趋</w:t>
      </w:r>
      <w:r>
        <w:rPr>
          <w:rFonts w:ascii="Times New Roman" w:hAnsi="Times New Roman" w:eastAsia="宋体" w:cs="Times New Roman"/>
          <w:sz w:val="28"/>
          <w:szCs w:val="28"/>
        </w:rPr>
        <w:t>上升，北极海冰正在变薄，极端气候事件发生频率增加</w:t>
      </w:r>
      <w:r>
        <w:rPr>
          <w:rFonts w:hint="eastAsia" w:ascii="Times New Roman" w:hAnsi="Times New Roman" w:eastAsia="宋体" w:cs="Times New Roman"/>
          <w:sz w:val="28"/>
          <w:szCs w:val="28"/>
        </w:rPr>
        <w:t>等诸多生态问题严重影响到人类的生存空间及生命财产安全</w:t>
      </w:r>
      <w:r>
        <w:rPr>
          <w:rFonts w:ascii="Times New Roman" w:hAnsi="Times New Roman" w:eastAsia="宋体" w:cs="Times New Roman"/>
          <w:sz w:val="28"/>
          <w:szCs w:val="28"/>
        </w:rPr>
        <w:t>。森林具</w:t>
      </w:r>
      <w:r>
        <w:rPr>
          <w:rFonts w:hint="eastAsia" w:ascii="Times New Roman" w:hAnsi="Times New Roman" w:eastAsia="宋体" w:cs="Times New Roman"/>
          <w:sz w:val="28"/>
          <w:szCs w:val="28"/>
        </w:rPr>
        <w:t>有强大的</w:t>
      </w:r>
      <w:r>
        <w:rPr>
          <w:rFonts w:ascii="Times New Roman" w:hAnsi="Times New Roman" w:eastAsia="宋体" w:cs="Times New Roman"/>
          <w:sz w:val="28"/>
          <w:szCs w:val="28"/>
        </w:rPr>
        <w:t>碳汇功能，能吸收大气中的温室气体二氧化碳</w:t>
      </w:r>
      <w:r>
        <w:rPr>
          <w:rFonts w:hint="eastAsia" w:ascii="Times New Roman" w:hAnsi="Times New Roman" w:eastAsia="宋体" w:cs="Times New Roman"/>
          <w:sz w:val="28"/>
          <w:szCs w:val="28"/>
        </w:rPr>
        <w:t>，</w:t>
      </w:r>
      <w:r>
        <w:rPr>
          <w:rFonts w:ascii="Times New Roman" w:hAnsi="Times New Roman" w:eastAsia="宋体" w:cs="Times New Roman"/>
          <w:sz w:val="28"/>
          <w:szCs w:val="28"/>
        </w:rPr>
        <w:t>并将其固定在植被或土壤中，植树造林是应对气候变化的有效途径。</w:t>
      </w:r>
      <w:r>
        <w:rPr>
          <w:rFonts w:hint="eastAsia" w:ascii="Times New Roman" w:hAnsi="Times New Roman" w:eastAsia="宋体" w:cs="Times New Roman"/>
          <w:sz w:val="28"/>
          <w:szCs w:val="28"/>
        </w:rPr>
        <w:t>目前，福建</w:t>
      </w:r>
      <w:r>
        <w:rPr>
          <w:rFonts w:ascii="Times New Roman" w:hAnsi="Times New Roman" w:eastAsia="宋体" w:cs="Times New Roman"/>
          <w:sz w:val="28"/>
          <w:szCs w:val="28"/>
        </w:rPr>
        <w:t>沿海地区森林质量</w:t>
      </w:r>
      <w:r>
        <w:rPr>
          <w:rFonts w:hint="eastAsia" w:ascii="Times New Roman" w:hAnsi="Times New Roman" w:eastAsia="宋体" w:cs="Times New Roman"/>
          <w:sz w:val="28"/>
          <w:szCs w:val="28"/>
        </w:rPr>
        <w:t>和生态颜值均存在较大的</w:t>
      </w:r>
      <w:r>
        <w:rPr>
          <w:rFonts w:ascii="Times New Roman" w:hAnsi="Times New Roman" w:eastAsia="宋体" w:cs="Times New Roman"/>
          <w:sz w:val="28"/>
          <w:szCs w:val="28"/>
        </w:rPr>
        <w:t>提升空间，继续实施沿海防护林体系建设工程，通过人工造林、灾损基干林带修复、老化基干林带更新、低效防护林改造等措施和科学有效的森林经营</w:t>
      </w:r>
      <w:r>
        <w:rPr>
          <w:rFonts w:hint="eastAsia" w:ascii="Times New Roman" w:hAnsi="Times New Roman" w:eastAsia="宋体" w:cs="Times New Roman"/>
          <w:sz w:val="28"/>
          <w:szCs w:val="28"/>
        </w:rPr>
        <w:t>，达到沿海防护林“调结构、提质量、增效益”的最终目标</w:t>
      </w:r>
      <w:r>
        <w:rPr>
          <w:rFonts w:ascii="Times New Roman" w:hAnsi="Times New Roman" w:eastAsia="宋体" w:cs="Times New Roman"/>
          <w:sz w:val="28"/>
          <w:szCs w:val="28"/>
        </w:rPr>
        <w:t>，进一步增加沿海地区森林面积和森林蓄积，提高森林覆盖率，</w:t>
      </w:r>
      <w:r>
        <w:rPr>
          <w:rFonts w:hint="eastAsia" w:ascii="Times New Roman" w:hAnsi="Times New Roman" w:eastAsia="宋体" w:cs="Times New Roman"/>
          <w:sz w:val="28"/>
          <w:szCs w:val="28"/>
        </w:rPr>
        <w:t>是</w:t>
      </w:r>
      <w:r>
        <w:rPr>
          <w:rFonts w:ascii="Times New Roman" w:hAnsi="Times New Roman" w:eastAsia="宋体" w:cs="Times New Roman"/>
          <w:sz w:val="28"/>
          <w:szCs w:val="28"/>
        </w:rPr>
        <w:t>增加森林碳汇，积极应对全球气候变暖</w:t>
      </w:r>
      <w:r>
        <w:rPr>
          <w:rFonts w:hint="eastAsia" w:ascii="Times New Roman" w:hAnsi="Times New Roman" w:eastAsia="宋体" w:cs="Times New Roman"/>
          <w:sz w:val="28"/>
          <w:szCs w:val="28"/>
        </w:rPr>
        <w:t>的必然选择</w:t>
      </w:r>
      <w:r>
        <w:rPr>
          <w:rFonts w:ascii="Times New Roman" w:hAnsi="Times New Roman" w:eastAsia="宋体" w:cs="Times New Roman"/>
          <w:sz w:val="28"/>
          <w:szCs w:val="28"/>
        </w:rPr>
        <w:t>。</w:t>
      </w:r>
    </w:p>
    <w:p>
      <w:pPr>
        <w:pStyle w:val="5"/>
        <w:spacing w:before="0" w:after="0" w:line="240" w:lineRule="auto"/>
        <w:ind w:firstLine="562" w:firstLineChars="200"/>
        <w:rPr>
          <w:rFonts w:hint="eastAsia" w:ascii="Times New Roman" w:hAnsi="Times New Roman" w:cs="Times New Roman"/>
          <w:sz w:val="28"/>
          <w:szCs w:val="28"/>
        </w:rPr>
      </w:pPr>
      <w:r>
        <w:rPr>
          <w:rFonts w:hint="eastAsia" w:ascii="Times New Roman" w:hAnsi="Times New Roman" w:cs="Times New Roman"/>
          <w:sz w:val="28"/>
          <w:szCs w:val="28"/>
        </w:rPr>
        <w:t>（五）构筑绿色生态屏障，加强沿海重要设施建设的需要</w:t>
      </w:r>
    </w:p>
    <w:p>
      <w:pPr>
        <w:spacing w:line="56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福建地处海峡西岸，战略位置重要。我省沿海地区有不少重要设施建在防护林中，茂密的沿海防护林对重要设施提供有效的遮挡、覆盖等保护作用，是海疆安全的天然屏障，同时也为当地民众提供了强有力的生活与生产安全保障。因此，持续深入推进沿海防护林体系建设工程，是构筑沿海绿色屏障，加强海峡西岸重要设施建设的必要举措。</w:t>
      </w:r>
    </w:p>
    <w:p>
      <w:pPr>
        <w:pStyle w:val="4"/>
        <w:spacing w:before="0" w:after="0" w:line="240" w:lineRule="auto"/>
        <w:ind w:firstLine="600" w:firstLineChars="200"/>
        <w:rPr>
          <w:rFonts w:ascii="Times New Roman" w:hAnsi="Times New Roman" w:eastAsia="微软雅黑" w:cs="Times New Roman"/>
          <w:sz w:val="30"/>
          <w:szCs w:val="30"/>
        </w:rPr>
      </w:pPr>
      <w:bookmarkStart w:id="8" w:name="_Toc505330702"/>
      <w:bookmarkStart w:id="9" w:name="_Toc31139"/>
      <w:r>
        <w:rPr>
          <w:rFonts w:ascii="Times New Roman" w:hAnsi="Times New Roman" w:eastAsia="微软雅黑" w:cs="Times New Roman"/>
          <w:sz w:val="30"/>
          <w:szCs w:val="30"/>
        </w:rPr>
        <w:t>三、规划内容概述</w:t>
      </w:r>
      <w:bookmarkEnd w:id="8"/>
      <w:bookmarkEnd w:id="9"/>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（一）工程规划范围</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福建省沿海防护林体系建设工程规划范围包括沿海6个设区市和平潭综合实验区的49个县（市、区），土地总面积495.74万公顷，其中林地面积327.51万公顷，占土地总面积的66.06%。详见附表3。</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（二）规划期限</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规划期限2016~2025年。其中：前期为2016~2020年，后期为2021~2025年。</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（三）体系结构</w:t>
      </w:r>
    </w:p>
    <w:p>
      <w:pPr>
        <w:spacing w:line="56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根据《全国沿海防护林体系建设工程规划（2016-2025年）》统一要求，</w:t>
      </w:r>
      <w:r>
        <w:rPr>
          <w:rFonts w:ascii="Times New Roman" w:hAnsi="Times New Roman" w:eastAsia="宋体" w:cs="Times New Roman"/>
          <w:sz w:val="28"/>
          <w:szCs w:val="28"/>
        </w:rPr>
        <w:t>福建省沿海防护林体系由沿海基干林带和纵深防护林</w:t>
      </w:r>
      <w:r>
        <w:rPr>
          <w:rFonts w:hint="eastAsia" w:ascii="Times New Roman" w:hAnsi="Times New Roman" w:eastAsia="宋体" w:cs="Times New Roman"/>
          <w:sz w:val="28"/>
          <w:szCs w:val="28"/>
        </w:rPr>
        <w:t>两大部分</w:t>
      </w:r>
      <w:r>
        <w:rPr>
          <w:rFonts w:ascii="Times New Roman" w:hAnsi="Times New Roman" w:eastAsia="宋体" w:cs="Times New Roman"/>
          <w:sz w:val="28"/>
          <w:szCs w:val="28"/>
        </w:rPr>
        <w:t>组成。</w:t>
      </w:r>
      <w:r>
        <w:rPr>
          <w:rFonts w:hint="eastAsia" w:ascii="Times New Roman" w:hAnsi="Times New Roman" w:eastAsia="宋体" w:cs="Times New Roman"/>
          <w:sz w:val="28"/>
          <w:szCs w:val="28"/>
        </w:rPr>
        <w:t>本次规划</w:t>
      </w:r>
      <w:r>
        <w:rPr>
          <w:rFonts w:ascii="Times New Roman" w:hAnsi="Times New Roman" w:eastAsia="宋体" w:cs="Times New Roman"/>
          <w:sz w:val="28"/>
          <w:szCs w:val="28"/>
        </w:rPr>
        <w:t>沿海基干林带分为一、二、三级</w:t>
      </w:r>
      <w:r>
        <w:rPr>
          <w:rFonts w:hint="eastAsia" w:ascii="Times New Roman" w:hAnsi="Times New Roman" w:eastAsia="宋体" w:cs="Times New Roman"/>
          <w:sz w:val="28"/>
          <w:szCs w:val="28"/>
        </w:rPr>
        <w:t>基干林带。纵深防护林指从沿海基干林带后侧延伸至工程区范围内广大区域的全部防护林。</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（四）建设内容与规模</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rPr>
        <w:t>基干林带建设：规划建设面积22297公顷，其中，人工造林3840公顷，灾损基干林带修复13627公顷，老化基干林带更新4830公顷。</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rPr>
        <w:t>纵深防护林建设：规划建设面积86713公顷，其中，人工造林2007公顷，封山育林25099公顷，低效防护林改造59607公顷。</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rPr>
        <w:t>科技支撑体系建设：包括困难立地造林技术和优良品种选育攻关、现有成熟科技成果推广应用、试验示范样板林基地、技术培训、监测评价体系建设等。</w:t>
      </w:r>
    </w:p>
    <w:p>
      <w:pPr>
        <w:ind w:firstLine="560" w:firstLineChars="200"/>
        <w:rPr>
          <w:rFonts w:hint="default" w:ascii="Times New Roman" w:hAnsi="Times New Roman" w:eastAsia="宋体" w:cs="Times New Roman"/>
          <w:sz w:val="28"/>
          <w:szCs w:val="28"/>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default" w:ascii="Times New Roman" w:hAnsi="Times New Roman" w:eastAsia="宋体" w:cs="Times New Roman"/>
          <w:sz w:val="28"/>
          <w:szCs w:val="28"/>
        </w:rPr>
        <w:t>4</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rPr>
        <w:t>基础设施建设：护岸护坡设施、森林防火设施、宣教牌、护林站点建设等。</w:t>
      </w:r>
    </w:p>
    <w:p>
      <w:pPr>
        <w:pStyle w:val="2"/>
        <w:spacing w:beforeLines="100" w:afterLines="100" w:line="240" w:lineRule="auto"/>
        <w:jc w:val="center"/>
        <w:rPr>
          <w:rFonts w:ascii="Times New Roman" w:hAnsi="Times New Roman" w:eastAsia="微软雅黑" w:cs="Times New Roman"/>
          <w:sz w:val="32"/>
          <w:szCs w:val="32"/>
        </w:rPr>
      </w:pPr>
      <w:bookmarkStart w:id="10" w:name="_Toc505330703"/>
      <w:bookmarkStart w:id="11" w:name="_Toc12838"/>
      <w:r>
        <w:rPr>
          <w:rFonts w:ascii="Times New Roman" w:hAnsi="Times New Roman" w:eastAsia="微软雅黑" w:cs="Times New Roman"/>
          <w:sz w:val="32"/>
          <w:szCs w:val="32"/>
        </w:rPr>
        <w:t>第二章 工程区基本情况</w:t>
      </w:r>
      <w:bookmarkEnd w:id="10"/>
      <w:bookmarkEnd w:id="11"/>
    </w:p>
    <w:p>
      <w:pPr>
        <w:pStyle w:val="4"/>
        <w:spacing w:before="0" w:after="0" w:line="240" w:lineRule="auto"/>
        <w:ind w:firstLine="600" w:firstLineChars="200"/>
        <w:rPr>
          <w:rFonts w:ascii="Times New Roman" w:hAnsi="Times New Roman" w:eastAsia="微软雅黑" w:cs="Times New Roman"/>
          <w:sz w:val="30"/>
          <w:szCs w:val="30"/>
        </w:rPr>
      </w:pPr>
      <w:bookmarkStart w:id="12" w:name="_Toc20681"/>
      <w:bookmarkStart w:id="13" w:name="_Toc505330704"/>
      <w:r>
        <w:rPr>
          <w:rFonts w:ascii="Times New Roman" w:hAnsi="Times New Roman" w:eastAsia="微软雅黑" w:cs="Times New Roman"/>
          <w:sz w:val="30"/>
          <w:szCs w:val="30"/>
        </w:rPr>
        <w:t>一、工程区范围</w:t>
      </w:r>
      <w:bookmarkEnd w:id="12"/>
      <w:bookmarkEnd w:id="13"/>
    </w:p>
    <w:p>
      <w:pPr>
        <w:spacing w:line="560" w:lineRule="exact"/>
        <w:ind w:firstLine="560" w:firstLineChars="200"/>
        <w:rPr>
          <w:rFonts w:ascii="Times New Roman" w:hAnsi="Times New Roman" w:eastAsia="宋体" w:cs="Times New Roman"/>
          <w:sz w:val="28"/>
          <w:szCs w:val="28"/>
        </w:rPr>
      </w:pPr>
      <w:r>
        <w:rPr>
          <w:rFonts w:ascii="Times New Roman" w:hAnsi="Times New Roman" w:cs="Times New Roman"/>
          <w:sz w:val="28"/>
          <w:szCs w:val="28"/>
        </w:rPr>
        <w:t>福建省沿海防护林体系建设工程范围涉及宁德、福州、莆田、泉州、</w:t>
      </w:r>
      <w:r>
        <w:rPr>
          <w:rFonts w:ascii="Times New Roman" w:hAnsi="Times New Roman" w:eastAsia="宋体" w:cs="Times New Roman"/>
          <w:sz w:val="28"/>
          <w:szCs w:val="28"/>
        </w:rPr>
        <w:t>厦门、漳州等6个设区市及平潭综合实验区下辖的福鼎、福安、霞浦、蕉城、柘荣、古田、罗源、连江、马尾、仓山、长乐、福清、平潭、永泰、闽清、闽侯、晋安、涵江、城厢、荔城、秀屿(含北岸、湄洲管委会)、仙游、惠安（含台商管委会）、泉港、晋江、石狮、南安、洛江、丰泽、永春、安溪、德化、同安、集美、海沧、翔安、思明、湖里、龙海、漳浦、云霄、东山、诏安、长泰、南靖、平和、华安、芗城、龙文</w:t>
      </w:r>
      <w:r>
        <w:rPr>
          <w:rFonts w:hint="eastAsia" w:ascii="Times New Roman" w:hAnsi="Times New Roman" w:eastAsia="宋体" w:cs="Times New Roman"/>
          <w:sz w:val="28"/>
          <w:szCs w:val="28"/>
        </w:rPr>
        <w:t>等</w:t>
      </w:r>
      <w:r>
        <w:rPr>
          <w:rFonts w:ascii="Times New Roman" w:hAnsi="Times New Roman" w:eastAsia="宋体" w:cs="Times New Roman"/>
          <w:sz w:val="28"/>
          <w:szCs w:val="28"/>
        </w:rPr>
        <w:t>49个临海县（市、区</w:t>
      </w:r>
      <w:r>
        <w:rPr>
          <w:rFonts w:hint="eastAsia" w:ascii="Times New Roman" w:hAnsi="Times New Roman" w:eastAsia="宋体" w:cs="Times New Roman"/>
          <w:sz w:val="28"/>
          <w:szCs w:val="28"/>
        </w:rPr>
        <w:t>、管委会</w:t>
      </w:r>
      <w:r>
        <w:rPr>
          <w:rFonts w:ascii="Times New Roman" w:hAnsi="Times New Roman" w:eastAsia="宋体" w:cs="Times New Roman"/>
          <w:sz w:val="28"/>
          <w:szCs w:val="28"/>
        </w:rPr>
        <w:t>）</w:t>
      </w:r>
      <w:r>
        <w:rPr>
          <w:rFonts w:hint="eastAsia" w:ascii="Times New Roman" w:hAnsi="Times New Roman" w:eastAsia="宋体" w:cs="Times New Roman"/>
          <w:sz w:val="28"/>
          <w:szCs w:val="28"/>
        </w:rPr>
        <w:t>。</w:t>
      </w:r>
    </w:p>
    <w:p>
      <w:pPr>
        <w:pStyle w:val="4"/>
        <w:spacing w:before="0" w:after="0" w:line="240" w:lineRule="auto"/>
        <w:ind w:firstLine="600" w:firstLineChars="200"/>
        <w:rPr>
          <w:rFonts w:ascii="Times New Roman" w:hAnsi="Times New Roman" w:eastAsia="微软雅黑" w:cs="Times New Roman"/>
          <w:sz w:val="30"/>
          <w:szCs w:val="30"/>
        </w:rPr>
      </w:pPr>
      <w:bookmarkStart w:id="14" w:name="_Toc28936"/>
      <w:bookmarkStart w:id="15" w:name="_Toc505330705"/>
      <w:r>
        <w:rPr>
          <w:rFonts w:ascii="Times New Roman" w:hAnsi="Times New Roman" w:eastAsia="微软雅黑" w:cs="Times New Roman"/>
          <w:sz w:val="30"/>
          <w:szCs w:val="30"/>
        </w:rPr>
        <w:t>二、工程区概况</w:t>
      </w:r>
      <w:bookmarkEnd w:id="14"/>
      <w:bookmarkEnd w:id="15"/>
    </w:p>
    <w:p>
      <w:pPr>
        <w:pStyle w:val="5"/>
        <w:spacing w:before="0" w:after="0" w:line="240" w:lineRule="auto"/>
        <w:ind w:firstLine="562" w:firstLineChars="200"/>
        <w:rPr>
          <w:rFonts w:ascii="Times New Roman" w:hAnsi="Times New Roman" w:cs="Times New Roman"/>
          <w:sz w:val="28"/>
          <w:szCs w:val="28"/>
        </w:rPr>
      </w:pPr>
      <w:bookmarkStart w:id="16" w:name="_Toc505330706"/>
      <w:r>
        <w:rPr>
          <w:rFonts w:ascii="Times New Roman" w:hAnsi="Times New Roman" w:cs="Times New Roman"/>
          <w:sz w:val="28"/>
          <w:szCs w:val="28"/>
        </w:rPr>
        <w:t>（一）自然地理条件</w:t>
      </w:r>
      <w:bookmarkEnd w:id="16"/>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地理位置</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区位于我国东南沿海，地处东经117°62′～120°44′，北纬23°31′～27°26′。东西最大间距约371.6公里，南北最大间距约504.8公里。东北邻浙江省，西北接江西省，西南连广东省，东临东海，东南隔台湾海峡与台湾省相望。工程区土地面积495.74万公顷，海域面积13.6万平方公里。</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地形地貌</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地形以山地丘陵为主，由西、中两列大山带构成福建地形的骨架。两列大山带均呈东北—西南走向，与海岸平行。东部沿海丘陵海拔多在500米以下，地貌类型一般由丘陵到红土台地再到沿海平原，花岗岩和流纹岩等火山岩遍布全区。闽江口以北以花岗岩高丘陵为主，山丘坡度较大，顶面崎岖。福清至诏安沿海广泛分布着由深厚的风化残积层组成的红土台地，面积约4200平方公里，海拔10～50米。平原分布在滨海一带，多为河口冲积海积平原和河谷冲积平原，面积不大，且为丘陵所分割，呈不连续状。福州平原、兴化平原、泉州平原和漳州平原为全省四大平原，原系第四纪断陷盆地，后地壳上升，分别由闽江、晋江、九龙江、木兰溪等河流泥沙冲积和海湾淤泥堆积而成，属冲积海积平原。这些平原并非完全平坦，多散布有孤山、残丘。沿海一带，尤以长乐梅花、江田，晋江金井，漳浦古雷半岛，以及平潭、东山等岛屿风积地貌发育，有覆盖沙、新月形沙丘、新月形沙丘链、沙垅等景观。</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气候条件</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区属南亚热带和中亚热带湿润季风气候，西北有山脉阻挡寒风，东南又有海风调节，温暖湿润为气候的显著特色。年平均气温15℃~22℃，从西北向东南递升。一月5℃~13℃，七月25℃~30℃。极端最低气温-9.5℃；极端最高气温为43.2℃。无霜期240~330d，木兰溪以南几乎全年无霜。年平均降水量800~1900毫米，沿海和岛屿偏少，西北山地较多；每年5~6月降水最多，夏秋之交多台风，常有暴雨，各地常年暴雨(24小时降水量＞50毫米)日数2.5~7.5d，其中闽中地区可达5.0~7.5d，登陆或影响境内的台风较往年有所增长，平均每年7个，最多的年份可达9个，登陆时沿海地区常出现12级以上强台风，最大风速可达65米/秒。干旱每年都会发生，主要出现于闽东南沿海地区，春旱2.5~3.3年一遇，夏旱1~2年一遇，秋冬旱2~3年一遇。</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河流水文</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区内河流众多，河网密布，具有相对独立完整的水系单元。大多河流都从省内的西北部、中部山地向东、东南流入台湾海峡。内河水系发达，共有28条水系，河网密度0.1公里/平方公里，流域面积在50平方公里及以上的河流354条，总长度9459公里；流域面积在100平方公里及以上的河流204条，总长度7313公里；流域面积在1000平方公里及以上的河流22条，总长度2116公里；其中流域面积在500平方公里以上的一级河流有闽江、九龙江、晋江、赛江、鳌江、漳江、交溪、霍童溪、木兰溪、绍安溪、萩芦溪等11条。境内主要江河闽江、九龙江、 晋江、赛江、木兰溪的地表水资源量总和为9.35×10</w:t>
      </w:r>
      <w:r>
        <w:rPr>
          <w:rFonts w:hint="default" w:ascii="Times New Roman" w:hAnsi="Times New Roman" w:eastAsia="宋体" w:cs="Times New Roman"/>
          <w:sz w:val="28"/>
          <w:szCs w:val="28"/>
          <w:vertAlign w:val="superscript"/>
        </w:rPr>
        <w:t>11</w:t>
      </w:r>
      <w:r>
        <w:rPr>
          <w:rFonts w:hint="default" w:ascii="Times New Roman" w:hAnsi="Times New Roman" w:eastAsia="宋体" w:cs="Times New Roman"/>
          <w:sz w:val="28"/>
          <w:szCs w:val="28"/>
        </w:rPr>
        <w:t>立方米，其中闽江为最大河流，全长577公里，流域面积达6.1万平方公里，约占全省主要江河总量的65.0%。其它依次是九龙江、晋江、赛江和木兰溪。多数水系形成独立完整的水系单元。由于受北东向和北西向两组断裂构造的控制，主要河流多与山脉垂直，支流与山脉平行，形成典型的外流区单向性的格状水系；河谷形态多呈串珠状，峡谷和盆谷相间排列；山地性河流多峡谷险滩，河床比降大，多在万分之五以上。水力资源蕴藏量达1050万千瓦，居华东各省之首位。</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w:t>
      </w:r>
      <w:r>
        <w:rPr>
          <w:rFonts w:ascii="Times New Roman" w:hAnsi="Times New Roman" w:cs="Times New Roman"/>
        </w:rPr>
        <w:t>土壤植被</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全国和福建省第二次土壤普查的分类系统，工程区土壤划分为：铁铝、初育、半水成、盐碱、人为5个土纲，赤红壤、红壤、黄壤、石质土、紫色土、石灰(岩)土、新积土、风沙土、潮土、山地草甸土、滨海盐土、酸性硫酸盐土、水稻土等13个土类，26个亚类。中、南亚热带的代表性土壤系红壤和赤红壤。工程区地处泛北极植物区的边缘地带，是泛北极植物区向古热带植物区的过渡地带。植物种类较为丰富，以亚热带区系成分为主，区系成分较复杂。据近年调查统计，福建省木本植物共有2697种、亚种、变种、变型及栽培变种，分属155科、795属，约占全国木本植物种的54%，科的88%，属的81%。其中蕨类植物2科3属6种，裸子植物10科38属137种及种下类群，被子植物143科754属2554种及种下类群。</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岸线分布</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区沿海岸线曲折，港湾众多，岛屿星罗棋布。岸线多呈锯齿状，曲折程度居我国沿海各省份之首。海岸类型以侵蚀海岸为主，堆积海岸为次，红树林海岸在全省沿海零星分布。侵蚀海岸多出现在半岛、岛屿岬角和岸线转折地段，主要分布在闽江口以北一带，闽江口以南的福清、平潭、莆田、厦门、东山、诏安等沿海地区亦有分布，常见有海蚀崖、海蚀洞、海蚀拱桥、海蚀柱和海蚀阶地等侵蚀形态。堆积海岸多出现在港湾内部岸段和岸线比较平直的地段，九龙江口以南的龙海、漳浦一带海岸较为平直，堆积形态较为发育，常见有海滩、沙堤、沙嘴等，并以海滩为主。工程区滩涂面积2068.86平方公里，底质以泥、泥沙或沙泥为主。港湾125个，自北向南有沙埕港、三都澳、罗源湾、湄洲湾、厦门港和东山湾等6个特大深水港湾。这些港湾多深入内陆，与半岛相间出现。区内共有岛屿2214个，其中较大的有海坛、金门、南日、马祖等岛屿。厦门岛、东山岛等分别有跨海海堤与陆地相连，已形成半岛。</w:t>
      </w:r>
    </w:p>
    <w:p>
      <w:pPr>
        <w:spacing w:line="560" w:lineRule="exact"/>
        <w:ind w:firstLine="562" w:firstLineChars="200"/>
        <w:rPr>
          <w:rFonts w:hint="default" w:ascii="Times New Roman" w:hAnsi="Times New Roman" w:eastAsia="宋体" w:cs="Times New Roman"/>
          <w:sz w:val="28"/>
          <w:szCs w:val="28"/>
        </w:rPr>
      </w:pPr>
      <w:r>
        <w:rPr>
          <w:rFonts w:ascii="Times New Roman" w:hAnsi="Times New Roman" w:cs="Times New Roman"/>
          <w:b/>
          <w:sz w:val="28"/>
          <w:szCs w:val="28"/>
        </w:rPr>
        <w:t>（1）岩质海岸：</w:t>
      </w:r>
      <w:r>
        <w:rPr>
          <w:rFonts w:hint="default" w:ascii="Times New Roman" w:hAnsi="Times New Roman" w:eastAsia="宋体" w:cs="Times New Roman"/>
          <w:sz w:val="28"/>
          <w:szCs w:val="28"/>
        </w:rPr>
        <w:t>岩质海岸又称基岩海岸，由比较坚硬的基岩构成，并同陆地上的山脉、丘陵毗邻。其主要特点是岸线曲折，岛屿众多，水深湾大岬湾相间。主要包括海岸突出部的半岛、岬角，山丘，具有海蚀陡崖、海蚀平台等海蚀地貌的基岩片段。基岩海岸是福建省海岸的主要类型，多分布在连江以北的沿海地区。</w:t>
      </w:r>
    </w:p>
    <w:p>
      <w:pPr>
        <w:spacing w:line="560" w:lineRule="exact"/>
        <w:ind w:firstLine="562" w:firstLineChars="200"/>
        <w:rPr>
          <w:rFonts w:hint="eastAsia" w:ascii="宋体" w:hAnsi="宋体" w:eastAsia="宋体" w:cs="宋体"/>
          <w:sz w:val="28"/>
          <w:szCs w:val="28"/>
        </w:rPr>
      </w:pPr>
      <w:r>
        <w:rPr>
          <w:rFonts w:ascii="Times New Roman" w:hAnsi="Times New Roman" w:cs="Times New Roman"/>
          <w:b/>
          <w:sz w:val="28"/>
          <w:szCs w:val="28"/>
        </w:rPr>
        <w:t>（2）沙质与泥质海岸：</w:t>
      </w:r>
      <w:r>
        <w:rPr>
          <w:rFonts w:hint="eastAsia" w:ascii="宋体" w:hAnsi="宋体" w:eastAsia="宋体" w:cs="宋体"/>
          <w:sz w:val="28"/>
          <w:szCs w:val="28"/>
        </w:rPr>
        <w:t>沙质海岸与泥质海岸多交错分布于基岩海岸之中，前者多分布于较开敞的海湾内，常有沙堤、沙嘴、沙坝等海积地貌发育，后者多分布于深入陆地的港湾顶部、河口附近。沙质、泥质海岸主要分布于连江以南的沿海地区。</w:t>
      </w:r>
    </w:p>
    <w:p>
      <w:pPr>
        <w:pStyle w:val="5"/>
        <w:spacing w:before="0" w:after="0" w:line="240" w:lineRule="auto"/>
        <w:ind w:firstLine="562" w:firstLineChars="200"/>
        <w:rPr>
          <w:rFonts w:ascii="Times New Roman" w:hAnsi="Times New Roman" w:cs="Times New Roman"/>
          <w:sz w:val="28"/>
          <w:szCs w:val="28"/>
        </w:rPr>
      </w:pPr>
      <w:bookmarkStart w:id="17" w:name="_Toc505330707"/>
      <w:r>
        <w:rPr>
          <w:rFonts w:ascii="Times New Roman" w:hAnsi="Times New Roman" w:cs="Times New Roman"/>
          <w:sz w:val="28"/>
          <w:szCs w:val="28"/>
        </w:rPr>
        <w:t>（二）社会经济条件</w:t>
      </w:r>
      <w:bookmarkEnd w:id="17"/>
    </w:p>
    <w:p>
      <w:pPr>
        <w:spacing w:line="560" w:lineRule="exact"/>
        <w:ind w:firstLine="560" w:firstLineChars="200"/>
        <w:rPr>
          <w:rFonts w:hint="default" w:ascii="Times New Roman" w:hAnsi="Times New Roman" w:eastAsia="宋体" w:cs="Times New Roman"/>
        </w:rPr>
      </w:pPr>
      <w:bookmarkStart w:id="18" w:name="_Toc505330709"/>
      <w:r>
        <w:rPr>
          <w:rFonts w:hint="default" w:ascii="Times New Roman" w:hAnsi="Times New Roman" w:eastAsia="宋体" w:cs="Times New Roman"/>
          <w:sz w:val="28"/>
          <w:szCs w:val="28"/>
        </w:rPr>
        <w:t>据统计，2015年工程区总人口2654.39万人，占全省总人口3874万人的68.5%。其中农业人口1307.5万人。人口密度536人/平方公里。国内生产总值18704.90亿元。城镇人均可支配收入33275元/年·人，农民人均纯收入13793元/年·人，财政收入1332.27亿元。2015年GDP总值19067.64亿元，人均GDP总值7.3亿元，全社会固定资产投资14436.4亿元，规模以上工业总产值8095.42亿元。</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（三）森林资源现状</w:t>
      </w:r>
      <w:bookmarkEnd w:id="18"/>
    </w:p>
    <w:p>
      <w:pPr>
        <w:pStyle w:val="6"/>
        <w:spacing w:before="0" w:after="0" w:line="240" w:lineRule="auto"/>
        <w:ind w:firstLine="562" w:firstLineChars="200"/>
        <w:rPr>
          <w:rFonts w:ascii="Times New Roman" w:hAnsi="Times New Roman" w:cs="Times New Roman"/>
        </w:rPr>
      </w:pPr>
      <w:bookmarkStart w:id="19" w:name="_Toc505330710"/>
      <w:r>
        <w:rPr>
          <w:rFonts w:ascii="Times New Roman" w:hAnsi="Times New Roman" w:cs="Times New Roman"/>
        </w:rPr>
        <w:t>1工程区森林资源现状</w:t>
      </w:r>
      <w:bookmarkEnd w:id="19"/>
    </w:p>
    <w:p>
      <w:pPr>
        <w:spacing w:line="560" w:lineRule="exact"/>
        <w:ind w:firstLine="560" w:firstLineChars="200"/>
        <w:rPr>
          <w:rFonts w:hint="default" w:ascii="Times New Roman" w:hAnsi="Times New Roman" w:eastAsia="宋体" w:cs="Times New Roman"/>
        </w:rPr>
      </w:pPr>
      <w:bookmarkStart w:id="20" w:name="_Toc505330711"/>
      <w:r>
        <w:rPr>
          <w:rFonts w:hint="default" w:ascii="Times New Roman" w:hAnsi="Times New Roman" w:eastAsia="宋体" w:cs="Times New Roman"/>
          <w:sz w:val="28"/>
          <w:szCs w:val="28"/>
        </w:rPr>
        <w:t>根据2015年全省森林资源建档统计，工程区土地总面积495.74万公顷，其中林地327.51万公顷，非林地面积168.23万公顷。林地中，有林地面积298.31万公顷，占林地面积的91.08%；疏林地6.69万公顷，占2.0%；未成林造林地8.15万公顷，占2.5%；灌木林地6.81万公顷，占2.1%；苗圃地0.22万公顷，占0.067%；其他林地7.31万公顷，占2.2%。工程区中，生态公益林地面积124.23万公顷，其中防护林75.87公顷，特用林26.02公顷。区内森林覆盖率60.16%。</w:t>
      </w:r>
    </w:p>
    <w:p>
      <w:pPr>
        <w:pStyle w:val="6"/>
        <w:spacing w:before="0" w:after="0" w:line="240" w:lineRule="auto"/>
        <w:ind w:firstLine="562" w:firstLineChars="200"/>
        <w:rPr>
          <w:rFonts w:ascii="Times New Roman" w:hAnsi="Times New Roman" w:cs="Times New Roman"/>
        </w:rPr>
      </w:pPr>
      <w:r>
        <w:rPr>
          <w:rFonts w:ascii="Times New Roman" w:hAnsi="Times New Roman" w:cs="Times New Roman"/>
        </w:rPr>
        <w:t>2工程区沿海基干林带现状</w:t>
      </w:r>
      <w:bookmarkEnd w:id="20"/>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2015年，工程区基干林带总面积57134公顷，其中：消浪林带766公顷（均为红树林），海岸基干林带面积56368公顷（其中灾损基干林带面积10829公顷，老化基干林带面积6469公顷），长度为2861公里。详见附表4。</w:t>
      </w:r>
    </w:p>
    <w:p>
      <w:pPr>
        <w:pStyle w:val="4"/>
        <w:spacing w:before="0" w:after="0" w:line="240" w:lineRule="auto"/>
        <w:ind w:firstLine="600" w:firstLineChars="200"/>
        <w:rPr>
          <w:rFonts w:ascii="Times New Roman" w:hAnsi="Times New Roman" w:eastAsia="微软雅黑" w:cs="Times New Roman"/>
          <w:sz w:val="30"/>
          <w:szCs w:val="30"/>
        </w:rPr>
      </w:pPr>
      <w:bookmarkStart w:id="21" w:name="_Toc505330712"/>
      <w:bookmarkStart w:id="22" w:name="_Toc24005"/>
      <w:r>
        <w:rPr>
          <w:rFonts w:ascii="Times New Roman" w:hAnsi="Times New Roman" w:eastAsia="微软雅黑" w:cs="Times New Roman"/>
          <w:sz w:val="30"/>
          <w:szCs w:val="30"/>
        </w:rPr>
        <w:t>三、自然灾害情况</w:t>
      </w:r>
      <w:bookmarkEnd w:id="21"/>
      <w:bookmarkEnd w:id="22"/>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（一）台风</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2011-2015年共有36个台风登陆或影响全省。台风致省内多条河流发生超警戒水位洪水，多地出现城市内涝及山洪地质灾害。其中2015年登陆的“苏迪罗”对全省造成严重危害，沿海37个站风力达14级以上，以莆田涵江53米/秒（16级）为最大，沿海内陆风力也达11～12级；10个县（市、区）36站过程降水量超过500毫米，福州、周宁日雨量突破历史极值。“苏迪罗”共造成境内191.27万人受灾，直接经济损失76.34亿元。</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（二）暴雨洪涝</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2011-2015年全省共出现122次暴雨，主要集中在5-9月，夏秋季受强盛的副热带高压影响，暴雨过程偏少、强度偏弱，台风影响的较大暴雨过程少。全省年均128.45万人（次）受灾，直接经济损失89.90亿元，其中2015年的“5.18”、“7.22”特大暴雨均造成严重的洪涝灾害。</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（三）强对流天气</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2011-2015年全省共出现58次强对流天气。主要集中在春夏两季，5月上旬，我省部分县（市）较易出现强对流天气，5月中旬中北部地区易出现雷雨大风，部分地区会出现8级以上雷雨大风，福州、厦门等地的局部县（市）出现短时强降水和冰雹，造成洪涝灾害。全省年均3.58万人受灾，农作物受灾面积1435.39公顷，直接经济损失4386.75万元。</w:t>
      </w:r>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（四）</w:t>
      </w:r>
      <w:r>
        <w:rPr>
          <w:rFonts w:ascii="Times New Roman" w:hAnsi="Times New Roman" w:cs="Times New Roman"/>
          <w:sz w:val="28"/>
          <w:szCs w:val="28"/>
        </w:rPr>
        <w:t>气象干旱</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2011-2015年全省共发生13次干旱，其中春旱严重，夏旱较严重。春旱于2月上旬出现并发展，3月上旬起，我省中南部降水偏少，沿海出现旱情，3月中旬至4月上旬，全省气温高、雨水少，多地水库水位低，农田缺水，森林火灾多发，5月上旬，全省性降水解除干旱；9～11月，晴热少雨，中南部沿海和闽西局部降水量显著偏少7成以上，夏秋连旱持续发展，11月以后雨日增多，气象干旱逐渐解除。全省年均作物受灾面积14080公顷，因旱人饮困难21.08万人。</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（五）高温</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2011-2015年全省共经历44次高温过程，主要特点：高温出现早，以春夏连旱为重，过程时间长。年均最强高温出现在6月，全省平均累计25个县（市）日最高气温超过37℃，最高可达40.4℃，8月下旬偏强的持续性强降水过程彻底解除旱情，区域主要集中在闽江、九龙江流域河谷盆地区域。</w:t>
      </w:r>
    </w:p>
    <w:p>
      <w:pPr>
        <w:pStyle w:val="5"/>
        <w:spacing w:before="0" w:after="0" w:line="240" w:lineRule="auto"/>
        <w:ind w:firstLine="562" w:firstLineChars="200"/>
        <w:rPr>
          <w:rFonts w:ascii="Times New Roman" w:hAnsi="Times New Roman" w:cs="Times New Roman"/>
          <w:sz w:val="28"/>
          <w:szCs w:val="28"/>
        </w:rPr>
      </w:pPr>
      <w:r>
        <w:rPr>
          <w:rFonts w:ascii="Times New Roman" w:hAnsi="Times New Roman" w:cs="Times New Roman"/>
          <w:sz w:val="28"/>
          <w:szCs w:val="28"/>
        </w:rPr>
        <w:t>（六）低温雨雪冰冻</w:t>
      </w:r>
    </w:p>
    <w:p>
      <w:pPr>
        <w:spacing w:line="560" w:lineRule="exact"/>
        <w:ind w:firstLine="560" w:firstLineChars="200"/>
        <w:rPr>
          <w:rFonts w:ascii="Times New Roman" w:hAnsi="Times New Roman" w:cs="Times New Roman"/>
          <w:sz w:val="28"/>
          <w:szCs w:val="28"/>
        </w:rPr>
      </w:pPr>
      <w:r>
        <w:rPr>
          <w:rFonts w:hint="default" w:ascii="Times New Roman" w:hAnsi="Times New Roman" w:eastAsia="宋体" w:cs="Times New Roman"/>
          <w:sz w:val="28"/>
          <w:szCs w:val="28"/>
        </w:rPr>
        <w:t>2011-2015年全省共出现21次寒潮过程，主要集中在每年的1~2月和11~12月。寒潮期间，受强冷空气影响，南平、三明、宁德、泉州等地的高海拔地区出现降雪；每年3月上中旬，中北部地区多出现大范围、长时间的低温阴雨天气；每年4月中旬，受西南暖湿气流和低层切变线共同影响，部分县市多出现中到大雨。</w:t>
      </w:r>
    </w:p>
    <w:p>
      <w:pPr>
        <w:pStyle w:val="4"/>
        <w:spacing w:before="0" w:after="0" w:line="240" w:lineRule="auto"/>
        <w:ind w:firstLine="600" w:firstLineChars="200"/>
        <w:rPr>
          <w:rFonts w:ascii="Times New Roman" w:hAnsi="Times New Roman" w:eastAsia="微软雅黑" w:cs="Times New Roman"/>
          <w:sz w:val="30"/>
          <w:szCs w:val="30"/>
        </w:rPr>
      </w:pPr>
      <w:bookmarkStart w:id="23" w:name="_Toc24223"/>
      <w:bookmarkStart w:id="24" w:name="_Toc505330715"/>
      <w:bookmarkStart w:id="25" w:name="_Toc10579"/>
      <w:r>
        <w:rPr>
          <w:rFonts w:hint="eastAsia" w:ascii="Times New Roman" w:hAnsi="Times New Roman" w:eastAsia="微软雅黑" w:cs="Times New Roman"/>
          <w:sz w:val="30"/>
          <w:szCs w:val="30"/>
        </w:rPr>
        <w:t>四</w:t>
      </w:r>
      <w:r>
        <w:rPr>
          <w:rFonts w:ascii="Times New Roman" w:hAnsi="Times New Roman" w:eastAsia="微软雅黑" w:cs="Times New Roman"/>
          <w:sz w:val="30"/>
          <w:szCs w:val="30"/>
        </w:rPr>
        <w:t>、工程建设</w:t>
      </w:r>
      <w:bookmarkEnd w:id="23"/>
      <w:bookmarkEnd w:id="24"/>
      <w:r>
        <w:rPr>
          <w:rFonts w:hint="eastAsia" w:ascii="Times New Roman" w:hAnsi="Times New Roman" w:eastAsia="微软雅黑" w:cs="Times New Roman"/>
          <w:sz w:val="30"/>
          <w:szCs w:val="30"/>
        </w:rPr>
        <w:t>有利条件与存在问题</w:t>
      </w:r>
      <w:bookmarkEnd w:id="25"/>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（一）有利条件</w:t>
      </w:r>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1、各级党委政府高度重视沿海防护林体系建设</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防护林体系建设不仅是福建省沿海重要的生态建设工程，也是一项功在当代、利在千秋的社会民生工程，肩负着维护沿海生态环境与促进经济发展的双重任务，在经济、社会与环境的可持续发展过程中具有不可替代的保障和支撑作用。工程实施以来，省委、省政府高度重视沿海防护林体系建设，在工程实施的每个阶段，省政府都召开全省沿海防护林体系建设工作会议，总结经验和部署下一阶段工作，全面推动建设工作，2016-2018年省委、省政府将沿海基干林带建设列入为民办实事项目，进一步推动沿海防护林体系建设。沿海地区各级党委、政府认真贯彻落实省委、省政府的决策部署，采取有力措施，真抓实干，确保了我省沿海防护林体系建设任务的完成，实现沿海地区森林面积和蓄积的双增长，进一步增强了沿海防护林体系的防灾减灾功能。各级党委政府高度重视，成为我省沿海防护林体系建设顺利实施的有力保障。</w:t>
      </w:r>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2、工程建设积累的丰富经验为本期建设提供了借鉴</w:t>
      </w:r>
    </w:p>
    <w:p>
      <w:pPr>
        <w:pStyle w:val="8"/>
        <w:ind w:firstLine="560"/>
        <w:rPr>
          <w:rFonts w:hint="default" w:ascii="Times New Roman" w:hAnsi="Times New Roman" w:eastAsia="宋体" w:cs="Times New Roman"/>
          <w:spacing w:val="0"/>
          <w:szCs w:val="28"/>
        </w:rPr>
      </w:pPr>
      <w:r>
        <w:rPr>
          <w:rFonts w:hint="default" w:ascii="Times New Roman" w:hAnsi="Times New Roman" w:eastAsia="宋体" w:cs="Times New Roman"/>
          <w:spacing w:val="0"/>
          <w:szCs w:val="28"/>
        </w:rPr>
        <w:t>2006-2015年，工程区共完成营造林面积达37.6万公顷，占规划任务数的121%，其中：人工造林更新面积12.5万公顷、封山育林面积25.1万公顷，取得了显著成效，积累丰富经验：一是各级领导高度重视和政府积极推动：二是各级政府不断加大资金投入，社会力量广泛参与；三是科学编制规划和精心组织实施；四是依靠科技兴林，强化项目质量管理；五是严格执法和加强保护。这些基本经验是沿海防护林体系建设实践的结晶，为本期工程规划的实施提供了可靠的借鉴。</w:t>
      </w:r>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沿海防护林体系建设相关政策扶持力度不断加大</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省委、省政府和各地党委政府高度重视林业建设，把发展林业作为推进生态文明试验区建设的重点来抓。2015年省政府出台《关于推进林业改革发展加强生态文明先行示范区建设的九条措施》，明确要求：严格依法区划界定沿海基干林带，落实基干林带同区位“先补后征”“占一补一”政策，除省级以上批准的基础设施、公共事业、民生项目，国防、外交项目以及重要的生态项目外，其他建设项目不得使用基干林带。2017年省委、省政府出台《关于深化集体林权制度改革加快国家生态文明试验区建设的意见》，提出：大力推进以沿海基干林带、生物防火林带、森林生态景观带和重点生态区位林分修复为主的“三带一区”建设。近几年来，省政府不断加大沿海防护林建设政策、资金扶持力度，这些都为加快沿海防护林建设提供有力支持。</w:t>
      </w:r>
    </w:p>
    <w:p>
      <w:pPr>
        <w:pStyle w:val="5"/>
        <w:spacing w:before="0" w:after="0" w:line="240" w:lineRule="auto"/>
        <w:ind w:firstLine="562" w:firstLineChars="200"/>
        <w:rPr>
          <w:rFonts w:ascii="Times New Roman" w:hAnsi="Times New Roman" w:cs="Times New Roman"/>
          <w:sz w:val="28"/>
          <w:szCs w:val="28"/>
        </w:rPr>
      </w:pPr>
      <w:r>
        <w:rPr>
          <w:rFonts w:hint="eastAsia" w:ascii="Times New Roman" w:hAnsi="Times New Roman" w:cs="Times New Roman"/>
          <w:sz w:val="28"/>
          <w:szCs w:val="28"/>
        </w:rPr>
        <w:t xml:space="preserve">4、沿海地区经济快速发展为工程建设提供了有力支撑。  </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随着沿海地区经济快速发展，综合实力不断增强，沿海各级政府有财力加大对沿海防护林体系建设的投入，同时，经济发展和生活水平的提高，人们对优美生态环境的需求更加迫切，期盼山更绿、水更清、天更蓝、环境更美，广大人民群众参与绿化美化人居环境的积极性进一步增强。此外，近年来社会各界人士、企业家等有识之士通过捐资捐款、认种认养等多种方式参与生态环境建设逐年增加。这些都为沿海防护林体系建设提供了强有力的财力保障和广泛的社会基础。</w:t>
      </w:r>
    </w:p>
    <w:p>
      <w:pPr>
        <w:pStyle w:val="5"/>
        <w:spacing w:before="0" w:after="0" w:line="240" w:lineRule="auto"/>
        <w:ind w:firstLine="562" w:firstLineChars="200"/>
        <w:rPr>
          <w:rFonts w:ascii="Times New Roman" w:hAnsi="Times New Roman" w:cs="Times New Roman"/>
          <w:sz w:val="28"/>
          <w:szCs w:val="28"/>
        </w:rPr>
      </w:pPr>
      <w:bookmarkStart w:id="26" w:name="_Toc505330716"/>
      <w:bookmarkStart w:id="27" w:name="_Toc18981"/>
      <w:r>
        <w:rPr>
          <w:rFonts w:hint="eastAsia" w:ascii="Times New Roman" w:hAnsi="Times New Roman" w:cs="Times New Roman"/>
          <w:sz w:val="28"/>
          <w:szCs w:val="28"/>
        </w:rPr>
        <w:t>（二）工程建设</w:t>
      </w:r>
      <w:bookmarkEnd w:id="26"/>
      <w:bookmarkEnd w:id="27"/>
      <w:r>
        <w:rPr>
          <w:rFonts w:hint="eastAsia" w:ascii="Times New Roman" w:hAnsi="Times New Roman" w:cs="Times New Roman"/>
          <w:sz w:val="28"/>
          <w:szCs w:val="28"/>
        </w:rPr>
        <w:t>存在问题</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1、沿海地区生态保护与经济发展矛盾仍然存在</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我省山多耕地少，随着沿海经济的快速发展，沿海防护林特别是沿海基干林带保护压力越来越大，一些地方为促进经济的一时发展非法占用沿海防护林的情况依然存在。 </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2、沿海防护林的质量有待提高</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虽然我省沿海县（市、区）荒山已基本绿化，但是还存在林分质量不高、树种结构不合理、基干林带宽度不足和断带缺口、农田林网不健全等问题，沿海防护林的综合防护效能仍然不强。据福建省沿海基干林带区划界定调查，全省沙岸基干林带平均宽度仅为100米，达不到《福建省沿海防护林条例》规定的沙岸沿海基干林带200米的要求。</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3、沿海防护林建设投入仍然不足</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从投入成本看，沿海防护林经过多年建设，余下的多为立地条件差、造林难度大的地段，单位面积造林成本较高。从投入方向看，各地存在不同程度的“重造轻管”现象，往往更注重造林规模，造林资金投入量较多，而林地管护、森林抚育、森林防火、病虫害防治、林业科技推广应用资金投入量则较少，这些都很大程度上影响了沿海防护林体系建设成效。</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4、基层林业技术力量薄弱 </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基层现有技术人员知识结构不合理、业务素质不高、年龄老化的现象普遍存在，同时，沿海地区许多基层林业管理机构仍不健全，专职从事林业工作的技术人员缺乏，一岗多责、一职多用的情况普遍。基层林业技术力量薄弱，难以适应工程建设需求。</w:t>
      </w:r>
    </w:p>
    <w:p>
      <w:pPr>
        <w:rPr>
          <w:rFonts w:ascii="Times New Roman" w:hAnsi="Times New Roman" w:cs="Times New Roman"/>
          <w:sz w:val="28"/>
          <w:szCs w:val="28"/>
        </w:rPr>
      </w:pPr>
      <w:r>
        <w:rPr>
          <w:rFonts w:hint="eastAsia" w:ascii="Times New Roman" w:hAnsi="Times New Roman" w:cs="Times New Roman"/>
          <w:sz w:val="28"/>
          <w:szCs w:val="28"/>
        </w:rPr>
        <w:br w:type="page"/>
      </w:r>
    </w:p>
    <w:p>
      <w:pPr>
        <w:pStyle w:val="2"/>
        <w:spacing w:beforeLines="100" w:afterLines="100" w:line="240" w:lineRule="auto"/>
        <w:jc w:val="center"/>
        <w:rPr>
          <w:rFonts w:ascii="Times New Roman" w:hAnsi="Times New Roman" w:eastAsia="微软雅黑" w:cs="Times New Roman"/>
          <w:sz w:val="32"/>
          <w:szCs w:val="32"/>
        </w:rPr>
      </w:pPr>
      <w:bookmarkStart w:id="28" w:name="_Toc505330719"/>
      <w:bookmarkStart w:id="29" w:name="_Toc25288"/>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三</w:t>
      </w:r>
      <w:r>
        <w:rPr>
          <w:rFonts w:ascii="Times New Roman" w:hAnsi="Times New Roman" w:eastAsia="微软雅黑" w:cs="Times New Roman"/>
          <w:sz w:val="32"/>
          <w:szCs w:val="32"/>
        </w:rPr>
        <w:t>章 规划总则</w:t>
      </w:r>
      <w:bookmarkEnd w:id="28"/>
      <w:bookmarkEnd w:id="29"/>
    </w:p>
    <w:p>
      <w:pPr>
        <w:pStyle w:val="4"/>
        <w:spacing w:before="0" w:after="0" w:line="240" w:lineRule="auto"/>
        <w:ind w:firstLine="600" w:firstLineChars="200"/>
        <w:rPr>
          <w:rFonts w:ascii="Times New Roman" w:hAnsi="Times New Roman" w:eastAsia="微软雅黑" w:cs="Times New Roman"/>
          <w:sz w:val="30"/>
          <w:szCs w:val="30"/>
        </w:rPr>
      </w:pPr>
      <w:bookmarkStart w:id="30" w:name="_Toc11709"/>
      <w:bookmarkStart w:id="31" w:name="_Toc505330720"/>
      <w:r>
        <w:rPr>
          <w:rFonts w:ascii="Times New Roman" w:hAnsi="Times New Roman" w:eastAsia="微软雅黑" w:cs="Times New Roman"/>
          <w:sz w:val="30"/>
          <w:szCs w:val="30"/>
        </w:rPr>
        <w:t>一、指导思想</w:t>
      </w:r>
      <w:bookmarkEnd w:id="30"/>
      <w:bookmarkEnd w:id="31"/>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以习近平新时代中国特色社会主义思想为指导，深入贯彻落实党的十九大精神，围绕生态文明试验区和新福建建设目标，</w:t>
      </w:r>
      <w:r>
        <w:rPr>
          <w:rFonts w:hint="default" w:ascii="Times New Roman" w:hAnsi="Times New Roman" w:eastAsia="宋体" w:cs="Times New Roman"/>
          <w:sz w:val="28"/>
          <w:szCs w:val="28"/>
          <w:shd w:val="clear" w:color="auto" w:fill="FFFFFF"/>
        </w:rPr>
        <w:t>以</w:t>
      </w:r>
      <w:r>
        <w:rPr>
          <w:rFonts w:hint="default" w:ascii="Times New Roman" w:hAnsi="Times New Roman" w:eastAsia="宋体" w:cs="Times New Roman"/>
          <w:sz w:val="28"/>
          <w:szCs w:val="28"/>
        </w:rPr>
        <w:t>增强沿海防护林体系功能，维护国土生态安全为核心，以提供更多优质生态产品，满足沿海地区人民日益增长的优美生态环境需要为出发点，以保护现有森林资源为基础，以沿海基干林带建设、红树林保护和发展、滨海湿地保护与恢复、农田林网和城乡绿化美化为重点，以体制创新、机制创新和科技创新为动力，努力构筑布局合理、结构稳定、功能完</w:t>
      </w:r>
      <w:r>
        <w:rPr>
          <w:rFonts w:hint="default" w:ascii="Times New Roman" w:hAnsi="Times New Roman" w:eastAsia="宋体" w:cs="Times New Roman"/>
          <w:color w:val="000000" w:themeColor="text1"/>
          <w:sz w:val="28"/>
          <w:szCs w:val="28"/>
        </w:rPr>
        <w:t>善，乔灌草、带</w:t>
      </w:r>
      <w:r>
        <w:rPr>
          <w:rFonts w:hint="default" w:ascii="Times New Roman" w:hAnsi="Times New Roman" w:eastAsia="宋体" w:cs="Times New Roman"/>
          <w:sz w:val="28"/>
          <w:szCs w:val="28"/>
        </w:rPr>
        <w:t>网片相结合的多树种、多层次、多功能、多效益的沿海绿色屏障，为促进沿海地区经济社会可持续发展，实现乡村振兴创造良好的生态环境。</w:t>
      </w:r>
    </w:p>
    <w:p>
      <w:pPr>
        <w:pStyle w:val="4"/>
        <w:spacing w:before="0" w:after="0" w:line="240" w:lineRule="auto"/>
        <w:ind w:firstLine="600" w:firstLineChars="200"/>
        <w:rPr>
          <w:rFonts w:ascii="Times New Roman" w:hAnsi="Times New Roman" w:eastAsia="微软雅黑" w:cs="Times New Roman"/>
          <w:sz w:val="30"/>
          <w:szCs w:val="30"/>
        </w:rPr>
      </w:pPr>
      <w:bookmarkStart w:id="32" w:name="_Toc17365"/>
      <w:bookmarkStart w:id="33" w:name="_Toc505330721"/>
      <w:r>
        <w:rPr>
          <w:rFonts w:ascii="Times New Roman" w:hAnsi="Times New Roman" w:eastAsia="微软雅黑" w:cs="Times New Roman"/>
          <w:sz w:val="30"/>
          <w:szCs w:val="30"/>
        </w:rPr>
        <w:t>二、基本原则</w:t>
      </w:r>
      <w:bookmarkEnd w:id="32"/>
      <w:bookmarkEnd w:id="33"/>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（一）坚持生态优先，协调发展原则</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以满足人们对日益增长的优美环境要求为出发点，把沿海防护林体系建设纳入当地国民经济可持续发展的总体布局中，实现工程建设与沿海地区城市发展、滨海工业发展、区域经济发展同步进行，正确处理生态建设保护和经济社会发展的关系，坚持生态效益与社会、经济效益，整体利益与局部利益，近期利益与长远利益的有机结合，建立环境友好型社会。</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（二）坚持科学规划，科技兴林原则</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建设因地制宜、因害设防、分类经营、合理布局，实现与国土、环保、农业、交通、水利和海洋等部门相关规划的科学衔接。充分运用先进科学技术，积极推广应用新技术、新成果，把科技兴林贯穿于工程建设的全过程，充分发挥科技支撑的保障作用，确保工程建设质量和成效。</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（三）坚持突出重点，分步实施原则</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以重点岸段、区域建设为突破口，优先抓好生态环境脆弱、易受台风袭击的前沿海岸基干林带和红树林为主的消浪林等重点工程建设。做到先易后难、先急后缓、先重点后一般，并充分考虑建设工程量，有计划、有次序地逐步推进沿海防护林体系建设。</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（四）坚持政府主导，全民参与原则</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充分发挥政府投资的引导作用，广泛吸收社会资金参与工程建设，建立多元化投入机制，多渠道、多层次、多方位筹集资金，多种经济成分并存。强化全社会参与共建，维护经营者的合法权益，确保沿海防护林体系建设健康、持续发展。</w:t>
      </w:r>
    </w:p>
    <w:p>
      <w:pPr>
        <w:pStyle w:val="4"/>
        <w:spacing w:before="0" w:after="0" w:line="240" w:lineRule="auto"/>
        <w:ind w:firstLine="600" w:firstLineChars="200"/>
        <w:rPr>
          <w:rFonts w:ascii="Times New Roman" w:hAnsi="Times New Roman" w:eastAsia="微软雅黑" w:cs="Times New Roman"/>
          <w:sz w:val="30"/>
          <w:szCs w:val="30"/>
        </w:rPr>
      </w:pPr>
      <w:bookmarkStart w:id="34" w:name="_Toc505330722"/>
      <w:bookmarkStart w:id="35" w:name="_Toc17875"/>
      <w:r>
        <w:rPr>
          <w:rFonts w:ascii="Times New Roman" w:hAnsi="Times New Roman" w:eastAsia="微软雅黑" w:cs="Times New Roman"/>
          <w:sz w:val="30"/>
          <w:szCs w:val="30"/>
        </w:rPr>
        <w:t>三、规划依据</w:t>
      </w:r>
      <w:bookmarkEnd w:id="34"/>
      <w:bookmarkEnd w:id="35"/>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（一）法律法规</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●《中华人民共和国森林法》（2009年修</w:t>
      </w:r>
      <w:r>
        <w:rPr>
          <w:rFonts w:hint="eastAsia" w:ascii="Times New Roman" w:hAnsi="Times New Roman" w:eastAsia="宋体" w:cs="Times New Roman"/>
          <w:sz w:val="28"/>
          <w:szCs w:val="28"/>
          <w:lang w:eastAsia="zh-CN"/>
        </w:rPr>
        <w:t>改</w:t>
      </w:r>
      <w:r>
        <w:rPr>
          <w:rFonts w:hint="default" w:ascii="Times New Roman" w:hAnsi="Times New Roman" w:eastAsia="宋体" w:cs="Times New Roman"/>
          <w:sz w:val="28"/>
          <w:szCs w:val="28"/>
        </w:rPr>
        <w:t>）；</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●《中华人民共和国森林法实施条例》（2016年修订）；</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●《中华人民共和国海洋环境保护法》（2014年修订）；</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●《中华人民共和国水土保持法》（2010年修订）；</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w:t>
      </w:r>
      <w:r>
        <w:rPr>
          <w:rFonts w:hint="eastAsia" w:ascii="Times New Roman" w:hAnsi="Times New Roman" w:eastAsia="宋体" w:cs="Times New Roman"/>
          <w:sz w:val="28"/>
          <w:szCs w:val="28"/>
          <w:lang w:eastAsia="zh-CN"/>
        </w:rPr>
        <w:t>共</w:t>
      </w:r>
      <w:r>
        <w:rPr>
          <w:rFonts w:hint="default" w:ascii="Times New Roman" w:hAnsi="Times New Roman" w:eastAsia="宋体" w:cs="Times New Roman"/>
          <w:sz w:val="28"/>
          <w:szCs w:val="28"/>
        </w:rPr>
        <w:t>和国自然保护区条例》（2011年修订）；</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●《中华人民共和国海域使用管理法》（2002年1月1日起施行）；</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●《福建省湿地保护条例》（2016年）；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●《福建省生态公益林条例》（2018年）；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●《福建省沿海防护林条例》（1995年）；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●《福建省海域使用管理条例》（2006年7月1日起施行）；</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●《福建省海岸带保护与利用管理条例》（2018年1月1日施行）。</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（二）规程规定</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●《生态公益林建设技术规程》（GB/T18337.3-2001）；</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●《造林技术规程》（</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DB35/T641-2005）；</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●《封山（沙）育林技术规程》（GB/T15163-2004）；</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●《森林抚育规程》（GB/T15781-2015）；</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●《造林作业设计规程》（LY/T1607-2003）；</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●《森林生态系统服务功能评估规范》（LY/1721-2008）；</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●《沿海防护林体系工程建设技术规程》（LY/T1763-2008）；</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●《木麻黄沿海防护林建设技术规程》（DB35/T1348—2013）</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●《红树林技术规程》（LY/T1938-2011）；</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●《低效林改造技术规程》（LY/T1690-2017）；</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●《主要造林树种苗木质量》（DB35/127）；</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●《木麻黄水培苗技术规程》（DB35/T502—2003）；</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●《福建省沿海防护林体系建设总体规划技术规定》（2005年）；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●《福建省地方森林资源监测体系小班区划调查技术规定》（福建省林业厅，2017年7月）。</w:t>
      </w:r>
    </w:p>
    <w:p>
      <w:pPr>
        <w:pStyle w:val="5"/>
        <w:spacing w:before="0" w:after="0" w:line="240" w:lineRule="auto"/>
        <w:ind w:firstLine="562" w:firstLineChars="200"/>
        <w:rPr>
          <w:rFonts w:hint="default" w:ascii="Times New Roman" w:hAnsi="Times New Roman" w:eastAsia="宋体" w:cs="Times New Roman"/>
          <w:sz w:val="28"/>
          <w:szCs w:val="28"/>
        </w:rPr>
      </w:pPr>
      <w:bookmarkStart w:id="36" w:name="_Toc515290003"/>
      <w:r>
        <w:rPr>
          <w:rFonts w:hint="default" w:ascii="Times New Roman" w:hAnsi="Times New Roman" w:eastAsia="宋体" w:cs="Times New Roman"/>
          <w:sz w:val="28"/>
          <w:szCs w:val="28"/>
        </w:rPr>
        <w:t>（三）相关规划</w:t>
      </w:r>
      <w:bookmarkEnd w:id="36"/>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●《全国沿海防护林体系建设工程规划（2016-2025年）》（2017年）；</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●《全国沿海防护林体系工程建设成效评估报告》（2011年）；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●《福建省林地保护利用规划（2010-2020年）》（2013年）；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●《福建省沿海防护林体系建设工程规划（2006-2015）年》（2006年）；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●《福建省沿海基干林带区划界定报告》（2015年）；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●《福建省“十三五”林业发展专项规划》（2016年）；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●《福建省海洋功能区划（2011-2020年）》（2012年）；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●《福建省海岸带保护与利用规划（2016-2020年）》（2016年）；</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●《福建省海洋生态保护红线划定成果》（2017年）。</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（四）相关政策文件及其他</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●《国家林业局办公室关于开展〈全国沿海防护林体系建设工程规划（2016-2025年）〉编制工作的通知》（办规字〔2014〕144号）；</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●国家林业局 国家发展和改革委关于印发《全国沿海防护林体系建设工程规划（2016-2025年）》的通知（林规发〔2017〕38号）；</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●《福建省人民政府关于推进林业改革发展加快生态文明先行示范区建设九条措施的通知》（闽政文〔2015〕27号）；</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●中共福建省委 福建省人民政府《关于深化集体林权制度改革加快国家生态文明建设的意见》（闽委发〔2017〕23号）；</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●其他相关材料。</w:t>
      </w:r>
    </w:p>
    <w:p>
      <w:pPr>
        <w:pStyle w:val="4"/>
        <w:spacing w:before="0" w:after="0" w:line="240" w:lineRule="auto"/>
        <w:ind w:firstLine="600" w:firstLineChars="200"/>
        <w:rPr>
          <w:rFonts w:ascii="Times New Roman" w:hAnsi="Times New Roman" w:eastAsia="微软雅黑" w:cs="Times New Roman"/>
          <w:sz w:val="30"/>
          <w:szCs w:val="30"/>
        </w:rPr>
      </w:pPr>
      <w:bookmarkStart w:id="37" w:name="_Toc14199"/>
      <w:bookmarkStart w:id="38" w:name="_Toc505330723"/>
      <w:r>
        <w:rPr>
          <w:rFonts w:ascii="Times New Roman" w:hAnsi="Times New Roman" w:eastAsia="微软雅黑" w:cs="Times New Roman"/>
          <w:sz w:val="30"/>
          <w:szCs w:val="30"/>
        </w:rPr>
        <w:t>四、规划期限</w:t>
      </w:r>
      <w:bookmarkEnd w:id="37"/>
      <w:bookmarkEnd w:id="38"/>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规划期限10年，即2016～2025年。其中前期为2016-2020年，后期为2021-2025年。</w:t>
      </w:r>
    </w:p>
    <w:p>
      <w:pPr>
        <w:pStyle w:val="4"/>
        <w:spacing w:before="0" w:after="0" w:line="240" w:lineRule="auto"/>
        <w:ind w:firstLine="600" w:firstLineChars="200"/>
        <w:rPr>
          <w:rFonts w:ascii="Times New Roman" w:hAnsi="Times New Roman" w:eastAsia="微软雅黑" w:cs="Times New Roman"/>
          <w:sz w:val="30"/>
          <w:szCs w:val="30"/>
        </w:rPr>
      </w:pPr>
      <w:bookmarkStart w:id="39" w:name="_Toc505330724"/>
      <w:bookmarkStart w:id="40" w:name="_Toc28259"/>
      <w:r>
        <w:rPr>
          <w:rFonts w:ascii="Times New Roman" w:hAnsi="Times New Roman" w:eastAsia="微软雅黑" w:cs="Times New Roman"/>
          <w:sz w:val="30"/>
          <w:szCs w:val="30"/>
        </w:rPr>
        <w:t>五、规划目标</w:t>
      </w:r>
      <w:bookmarkEnd w:id="39"/>
      <w:bookmarkEnd w:id="40"/>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（一）总体目标</w:t>
      </w:r>
    </w:p>
    <w:p>
      <w:pPr>
        <w:spacing w:line="560" w:lineRule="exact"/>
        <w:ind w:firstLine="555"/>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新的形势需求，福建省沿海防护林体系建设重在实现以下“三个扩展”，一是在建设目标上，要向“高度”扩展，实现从一般性生态防护功能，向以应对海啸和风暴潮等突发性生态灾难为重点的综合防护功能的扩展；二是在建设内容上，要向“广度”扩展，实现从层次结构单一的基干林带防护林体系，向以基干林带为主导，滨海湿地、滩涂红树林、农田林网、城镇乡村防护林网等有机结合的多层次结构防护林体系的扩展；三是在建设档次上，要向“美度”扩展，将沿海防护林体系建设与农田、道路、溪河、居民区绿化美化有机地结合起来，实现从单纯营造防护林向绿化美化城乡、改善人居环境的扩展。</w:t>
      </w:r>
    </w:p>
    <w:p>
      <w:pPr>
        <w:spacing w:line="560" w:lineRule="exact"/>
        <w:ind w:firstLine="555"/>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至2025年，全省沿海基干林带面积达95955公顷以上，沿海地区森林覆盖率从现有60.16%提升至62.00%。详见附表4</w:t>
      </w:r>
    </w:p>
    <w:p>
      <w:pPr>
        <w:pStyle w:val="5"/>
        <w:spacing w:before="0" w:after="0" w:line="240" w:lineRule="auto"/>
        <w:ind w:firstLine="562" w:firstLineChars="200"/>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（二）分项目标</w:t>
      </w:r>
    </w:p>
    <w:p>
      <w:pPr>
        <w:spacing w:line="560" w:lineRule="exact"/>
        <w:ind w:firstLine="555"/>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至2020年，工程区沿海防护林体系得到优化和完善，全面建立起与沿海经济发达地区相适应的、功能较完善的、多层次综合性防护林体系，沿海地区森林覆盖率进一步增长，红树林面积不断扩大，基干林带得到改造和提升、城乡绿化一体化进程明显加快，森林资源和湿地保护得到加强，体系结构、质量和功能明显提高，全省基干林带面积达78486公顷以上，沿海地区森林覆盖率不低于61.50%。</w:t>
      </w:r>
    </w:p>
    <w:p>
      <w:pPr>
        <w:spacing w:line="560" w:lineRule="exact"/>
        <w:ind w:firstLine="555"/>
        <w:rPr>
          <w:rFonts w:hint="default" w:ascii="Times New Roman" w:hAnsi="Times New Roman" w:eastAsia="宋体" w:cs="Times New Roman"/>
          <w:color w:val="000000" w:themeColor="text1"/>
          <w:sz w:val="28"/>
          <w:szCs w:val="28"/>
        </w:rPr>
        <w:sectPr>
          <w:pgSz w:w="11906" w:h="16838"/>
          <w:pgMar w:top="1440" w:right="1800" w:bottom="1440" w:left="1800" w:header="851" w:footer="992" w:gutter="0"/>
          <w:cols w:space="425" w:num="1"/>
          <w:docGrid w:type="lines" w:linePitch="312" w:charSpace="0"/>
        </w:sectPr>
      </w:pPr>
      <w:r>
        <w:rPr>
          <w:rFonts w:hint="default" w:ascii="Times New Roman" w:hAnsi="Times New Roman" w:eastAsia="宋体" w:cs="Times New Roman"/>
          <w:color w:val="000000" w:themeColor="text1"/>
          <w:sz w:val="28"/>
          <w:szCs w:val="28"/>
        </w:rPr>
        <w:t>至2025年，工程区范围沿海防护林体系更加优化和完善，森林覆盖率保持稳定增长，森林资源得到全面有效保护，森林质量和生态功能进一步提高，湿地保护与恢复取得重大进展，生态环境步入良性循环，全面建成生态结构稳定、防灾减灾功能强大、与社会经济可持续发展相适应的生态防护体系，实现乡村振兴，促进沿海地区经济社会持续、稳定、健康地发展，全省基干林带面积达95955公顷以上，沿海地区森林覆盖率达到62.00%。</w:t>
      </w:r>
    </w:p>
    <w:p>
      <w:pPr>
        <w:pStyle w:val="2"/>
        <w:spacing w:beforeLines="100" w:afterLines="100" w:line="240" w:lineRule="auto"/>
        <w:jc w:val="center"/>
        <w:rPr>
          <w:rFonts w:ascii="Times New Roman" w:hAnsi="Times New Roman" w:eastAsia="微软雅黑" w:cs="Times New Roman"/>
          <w:sz w:val="32"/>
          <w:szCs w:val="32"/>
        </w:rPr>
      </w:pPr>
      <w:bookmarkStart w:id="41" w:name="_Toc3587"/>
      <w:bookmarkStart w:id="42" w:name="_Toc505330725"/>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四</w:t>
      </w:r>
      <w:r>
        <w:rPr>
          <w:rFonts w:ascii="Times New Roman" w:hAnsi="Times New Roman" w:eastAsia="微软雅黑" w:cs="Times New Roman"/>
          <w:sz w:val="32"/>
          <w:szCs w:val="32"/>
        </w:rPr>
        <w:t>章 体系结构与分区</w:t>
      </w:r>
      <w:bookmarkEnd w:id="41"/>
      <w:bookmarkEnd w:id="42"/>
    </w:p>
    <w:p>
      <w:pPr>
        <w:pStyle w:val="4"/>
        <w:spacing w:before="0" w:after="0" w:line="240" w:lineRule="auto"/>
        <w:ind w:firstLine="600" w:firstLineChars="200"/>
        <w:rPr>
          <w:rFonts w:ascii="Times New Roman" w:hAnsi="Times New Roman" w:eastAsia="微软雅黑" w:cs="Times New Roman"/>
          <w:sz w:val="30"/>
          <w:szCs w:val="30"/>
        </w:rPr>
      </w:pPr>
      <w:bookmarkStart w:id="43" w:name="_Toc27176"/>
      <w:bookmarkStart w:id="44" w:name="_Toc505330726"/>
      <w:r>
        <w:rPr>
          <w:rFonts w:ascii="Times New Roman" w:hAnsi="Times New Roman" w:eastAsia="微软雅黑" w:cs="Times New Roman"/>
          <w:sz w:val="30"/>
          <w:szCs w:val="30"/>
        </w:rPr>
        <w:t>一、体系结构</w:t>
      </w:r>
      <w:bookmarkEnd w:id="43"/>
      <w:bookmarkEnd w:id="44"/>
    </w:p>
    <w:p>
      <w:pPr>
        <w:ind w:firstLine="543" w:firstLineChars="194"/>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福建省沿海防护林体系由沿海基干林带和纵深防护林两大部分组成。</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（一）沿海基干林带</w:t>
      </w:r>
    </w:p>
    <w:p>
      <w:pPr>
        <w:ind w:firstLine="543" w:firstLineChars="194"/>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基干林带是沿海防护林体系的核心，是沿海地区防灾减灾的重要屏障。从浅海水域向内陆延伸，沿海基干林带分为一级基干林带（消浪林带）、二级基干林带（海岸防护林带）、三级基干林带（海岸缓冲林带）。</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1.一级基干林带</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一级基干林带也称消浪林带，是指海岸线以下的浅海水域、潮间带、近海滩涂及河口区域营造的以红树林为主的防浪消浪林带，是沿海防护林体系中的第一道防线，是破坏性海浪的“缓冲器”。</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2.二级基干林带</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二级基干林带也称海岸基干林带，是指位于最高潮水位以上、适宜树木生长的海岸内侧陆地，由乔灌木组成的、具有一定宽度的防护林带。其中：</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泥岸：从海岸能植树的地方起，向陆地延伸，林带宽度达200米以上；</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沙岸：从海滩能植树的地方起，向陆地延伸，林带宽度不小于300米，若200米范围内无林地小班则延伸至500米；</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岩岸：为沿海一面坡，面向大海坡面的全部防护林。</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3.三级基干林带</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三级基干林带也称海岸缓冲林带，是指从海岸能植树的地方开始，向陆地延伸至1公里，除一、二级基干林带外的全部防护林带。</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（二）纵深防护林</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纵深防护林是指从沿海基干林带后侧延伸到工程区范围内广大区域的全部防护林。</w:t>
      </w:r>
    </w:p>
    <w:p>
      <w:pPr>
        <w:pStyle w:val="4"/>
        <w:spacing w:before="0" w:after="0" w:line="240" w:lineRule="auto"/>
        <w:ind w:firstLine="600" w:firstLineChars="200"/>
        <w:rPr>
          <w:rFonts w:ascii="Times New Roman" w:hAnsi="Times New Roman" w:eastAsia="微软雅黑" w:cs="Times New Roman"/>
          <w:sz w:val="30"/>
          <w:szCs w:val="30"/>
        </w:rPr>
      </w:pPr>
      <w:bookmarkStart w:id="45" w:name="_Toc505330727"/>
      <w:bookmarkStart w:id="46" w:name="_Toc19487"/>
      <w:r>
        <w:rPr>
          <w:rFonts w:ascii="Times New Roman" w:hAnsi="Times New Roman" w:eastAsia="微软雅黑" w:cs="Times New Roman"/>
          <w:sz w:val="30"/>
          <w:szCs w:val="30"/>
        </w:rPr>
        <w:t>二、</w:t>
      </w:r>
      <w:bookmarkEnd w:id="45"/>
      <w:r>
        <w:rPr>
          <w:rFonts w:hint="eastAsia" w:ascii="Times New Roman" w:hAnsi="Times New Roman" w:eastAsia="微软雅黑" w:cs="Times New Roman"/>
          <w:sz w:val="30"/>
          <w:szCs w:val="30"/>
        </w:rPr>
        <w:t>分区规划</w:t>
      </w:r>
      <w:bookmarkEnd w:id="46"/>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以气候带、自然灾害特点、行政区划为主导因子，根据《全国沿海防护林体系建设工程规划（2016-2025年）》分区布局，福建省沿海防护林体系地处东南沿海建设类型区的浙东南闽东基岩海岸山地丘陵建设类型亚区和闽中南沙质淤泥质海岸丘陵台地建设类型亚区。</w:t>
      </w:r>
      <w:bookmarkStart w:id="47" w:name="_Toc505330728"/>
      <w:r>
        <w:rPr>
          <w:rFonts w:hint="default" w:ascii="Times New Roman" w:hAnsi="Times New Roman" w:eastAsia="宋体" w:cs="Times New Roman"/>
          <w:sz w:val="28"/>
          <w:szCs w:val="28"/>
        </w:rPr>
        <w:t>工程区涉及福州、宁德、莆田、泉州、漳州、厦门等6个设区市和平潭综合实验区的49个县（市、区），其中10个县（市、区）属浙东南闽东基岩海岸山地丘陵区；39个县（市、区）属闽中南沙质淤泥质海岸丘陵台地区。详见表4-1。</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1.浙东南闽东基岩海岸山地丘陵区</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区包括罗源、连江、闽清、闽侯、福鼎、福安、霞浦、柘荣、古田、蕉城等10个县（市、区）。该区为典型的基岩海岸地段，山势陡峭，岸线较长，台风登陆频繁。区内多为纯林，树种较为单一，林分结构简单，马尾松纯林多有分布，森林病虫害危害较为严重，林分质量普遍不高。本区通过人工造林、封山育林、低效林改造等措施，巩固和完善临海一面坡基干林带，并加大区内红树林营造力度，增强防护功能。</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2.闽中南沙质淤泥质海岸丘陵台地区</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区包括长乐、永泰、福清、马尾、仓山、晋安、平潭、仙游、涵江、城厢、荔城、秀屿（含北岸、湄洲管委会）、惠安（含台商管委会）、晋江、石狮、南安、永春、安溪、德化、洛江、泉港、丰泽、龙海、漳浦、云霄、东山、诏安、长泰、南靖、平和、华安、芗城、龙文、同安、集美、海沧、翔安、思明、湖里等39个县（市、区）。该区不同岸线类型交替分布，岸线曲折，类型复杂，多为丘陵台地。区内台风登陆频繁，风暴潮威胁大，沿海基干林带灾损断带多，林带宽度不达标问题较突出，木麻黄严重老化亟需更新，红树林恢复与保护任务较重。本区以基干林带加宽增厚，灾损基干林带修复，断带基干林带补充，老化基干林带更新和滩涂营造红树林为主要任务。</w:t>
      </w:r>
    </w:p>
    <w:tbl>
      <w:tblPr>
        <w:tblStyle w:val="19"/>
        <w:tblW w:w="8336" w:type="dxa"/>
        <w:tblInd w:w="0" w:type="dxa"/>
        <w:tblLayout w:type="fixed"/>
        <w:tblCellMar>
          <w:top w:w="0" w:type="dxa"/>
          <w:left w:w="0" w:type="dxa"/>
          <w:bottom w:w="0" w:type="dxa"/>
          <w:right w:w="0" w:type="dxa"/>
        </w:tblCellMar>
      </w:tblPr>
      <w:tblGrid>
        <w:gridCol w:w="756"/>
        <w:gridCol w:w="1235"/>
        <w:gridCol w:w="1715"/>
        <w:gridCol w:w="3647"/>
        <w:gridCol w:w="983"/>
      </w:tblGrid>
      <w:tr>
        <w:tblPrEx>
          <w:tblLayout w:type="fixed"/>
          <w:tblCellMar>
            <w:top w:w="0" w:type="dxa"/>
            <w:left w:w="0" w:type="dxa"/>
            <w:bottom w:w="0" w:type="dxa"/>
            <w:right w:w="0" w:type="dxa"/>
          </w:tblCellMar>
        </w:tblPrEx>
        <w:trPr>
          <w:trHeight w:val="645" w:hRule="atLeast"/>
        </w:trPr>
        <w:tc>
          <w:tcPr>
            <w:tcW w:w="8336" w:type="dxa"/>
            <w:gridSpan w:val="5"/>
            <w:tcBorders>
              <w:top w:val="nil"/>
              <w:left w:val="nil"/>
              <w:bottom w:val="nil"/>
              <w:right w:val="nil"/>
            </w:tcBorders>
            <w:shd w:val="clear" w:color="000000" w:fill="FFFFFF"/>
            <w:tcMar>
              <w:top w:w="15" w:type="dxa"/>
              <w:left w:w="15" w:type="dxa"/>
              <w:right w:w="15" w:type="dxa"/>
            </w:tcMar>
            <w:vAlign w:val="center"/>
          </w:tcPr>
          <w:p>
            <w:pPr>
              <w:widowControl/>
              <w:jc w:val="center"/>
              <w:textAlignment w:val="center"/>
              <w:rPr>
                <w:rFonts w:ascii="Times New Roman" w:hAnsi="Times New Roman" w:eastAsia="等线" w:cs="Times New Roman"/>
                <w:b/>
                <w:sz w:val="28"/>
                <w:szCs w:val="28"/>
              </w:rPr>
            </w:pPr>
            <w:r>
              <w:rPr>
                <w:rFonts w:ascii="Times New Roman" w:hAnsi="Times New Roman" w:eastAsia="等线" w:cs="Times New Roman"/>
                <w:bCs/>
                <w:kern w:val="0"/>
                <w:sz w:val="28"/>
                <w:szCs w:val="28"/>
              </w:rPr>
              <w:t>福建省沿海防护林体系工程建设分区</w:t>
            </w:r>
            <w:r>
              <w:rPr>
                <w:rFonts w:hint="eastAsia" w:ascii="Times New Roman" w:hAnsi="Times New Roman" w:eastAsia="等线" w:cs="Times New Roman"/>
                <w:bCs/>
                <w:kern w:val="0"/>
                <w:sz w:val="28"/>
                <w:szCs w:val="28"/>
              </w:rPr>
              <w:t>规划</w:t>
            </w:r>
            <w:r>
              <w:rPr>
                <w:rFonts w:ascii="Times New Roman" w:hAnsi="Times New Roman" w:eastAsia="等线" w:cs="Times New Roman"/>
                <w:bCs/>
                <w:kern w:val="0"/>
                <w:sz w:val="28"/>
                <w:szCs w:val="28"/>
              </w:rPr>
              <w:t>一览表</w:t>
            </w:r>
          </w:p>
        </w:tc>
      </w:tr>
      <w:tr>
        <w:tblPrEx>
          <w:tblLayout w:type="fixed"/>
          <w:tblCellMar>
            <w:top w:w="0" w:type="dxa"/>
            <w:left w:w="0" w:type="dxa"/>
            <w:bottom w:w="0" w:type="dxa"/>
            <w:right w:w="0" w:type="dxa"/>
          </w:tblCellMar>
        </w:tblPrEx>
        <w:trPr>
          <w:trHeight w:val="390" w:hRule="atLeast"/>
        </w:trPr>
        <w:tc>
          <w:tcPr>
            <w:tcW w:w="756" w:type="dxa"/>
            <w:tcBorders>
              <w:top w:val="nil"/>
              <w:left w:val="nil"/>
              <w:bottom w:val="nil"/>
              <w:right w:val="nil"/>
            </w:tcBorders>
            <w:shd w:val="clear" w:color="000000" w:fill="FFFFFF"/>
            <w:tcMar>
              <w:top w:w="15" w:type="dxa"/>
              <w:left w:w="15" w:type="dxa"/>
              <w:right w:w="15" w:type="dxa"/>
            </w:tcMar>
            <w:vAlign w:val="center"/>
          </w:tcPr>
          <w:p>
            <w:pPr>
              <w:widowControl/>
              <w:spacing w:line="240" w:lineRule="exact"/>
              <w:jc w:val="center"/>
              <w:textAlignment w:val="center"/>
              <w:rPr>
                <w:rFonts w:ascii="Times New Roman" w:hAnsi="Times New Roman" w:eastAsia="等线" w:cs="Times New Roman"/>
                <w:sz w:val="28"/>
                <w:szCs w:val="28"/>
              </w:rPr>
            </w:pPr>
            <w:r>
              <w:rPr>
                <w:rFonts w:ascii="Times New Roman" w:hAnsi="Times New Roman" w:eastAsia="等线" w:cs="Times New Roman"/>
                <w:kern w:val="0"/>
                <w:sz w:val="28"/>
                <w:szCs w:val="28"/>
              </w:rPr>
              <w:t>表</w:t>
            </w:r>
            <w:r>
              <w:rPr>
                <w:rFonts w:hint="eastAsia" w:ascii="Times New Roman" w:hAnsi="Times New Roman" w:eastAsia="等线" w:cs="Times New Roman"/>
                <w:kern w:val="0"/>
                <w:sz w:val="28"/>
                <w:szCs w:val="28"/>
              </w:rPr>
              <w:t>4</w:t>
            </w:r>
            <w:r>
              <w:rPr>
                <w:rFonts w:ascii="Times New Roman" w:hAnsi="Times New Roman" w:eastAsia="等线" w:cs="Times New Roman"/>
                <w:kern w:val="0"/>
                <w:sz w:val="28"/>
                <w:szCs w:val="28"/>
              </w:rPr>
              <w:t>-1</w:t>
            </w:r>
          </w:p>
        </w:tc>
        <w:tc>
          <w:tcPr>
            <w:tcW w:w="1235" w:type="dxa"/>
            <w:tcBorders>
              <w:top w:val="nil"/>
              <w:left w:val="nil"/>
              <w:bottom w:val="nil"/>
              <w:right w:val="nil"/>
            </w:tcBorders>
            <w:shd w:val="clear" w:color="000000" w:fill="FFFFFF"/>
            <w:tcMar>
              <w:top w:w="15" w:type="dxa"/>
              <w:left w:w="15" w:type="dxa"/>
              <w:right w:w="15" w:type="dxa"/>
            </w:tcMar>
            <w:vAlign w:val="center"/>
          </w:tcPr>
          <w:p>
            <w:pPr>
              <w:widowControl/>
              <w:spacing w:line="240" w:lineRule="exact"/>
              <w:textAlignment w:val="center"/>
              <w:rPr>
                <w:rFonts w:ascii="Times New Roman" w:hAnsi="Times New Roman" w:eastAsia="等线" w:cs="Times New Roman"/>
                <w:sz w:val="28"/>
                <w:szCs w:val="28"/>
              </w:rPr>
            </w:pPr>
            <w:r>
              <w:rPr>
                <w:rFonts w:ascii="Times New Roman" w:hAnsi="Times New Roman" w:eastAsia="等线" w:cs="Times New Roman"/>
                <w:kern w:val="0"/>
                <w:sz w:val="28"/>
                <w:szCs w:val="28"/>
              </w:rPr>
              <w:t>　</w:t>
            </w:r>
          </w:p>
        </w:tc>
        <w:tc>
          <w:tcPr>
            <w:tcW w:w="6345" w:type="dxa"/>
            <w:gridSpan w:val="3"/>
            <w:tcBorders>
              <w:top w:val="nil"/>
              <w:left w:val="nil"/>
              <w:bottom w:val="nil"/>
              <w:right w:val="nil"/>
            </w:tcBorders>
            <w:shd w:val="clear" w:color="000000" w:fill="FFFFFF"/>
            <w:tcMar>
              <w:top w:w="15" w:type="dxa"/>
              <w:left w:w="15" w:type="dxa"/>
              <w:right w:w="15" w:type="dxa"/>
            </w:tcMar>
            <w:vAlign w:val="center"/>
          </w:tcPr>
          <w:p>
            <w:pPr>
              <w:widowControl/>
              <w:spacing w:line="240" w:lineRule="exact"/>
              <w:textAlignment w:val="center"/>
              <w:rPr>
                <w:rFonts w:ascii="Times New Roman" w:hAnsi="Times New Roman" w:eastAsia="等线" w:cs="Times New Roman"/>
                <w:sz w:val="28"/>
                <w:szCs w:val="28"/>
              </w:rPr>
            </w:pPr>
            <w:r>
              <w:rPr>
                <w:rFonts w:ascii="Times New Roman" w:hAnsi="Times New Roman" w:eastAsia="等线" w:cs="Times New Roman"/>
                <w:kern w:val="0"/>
                <w:sz w:val="28"/>
                <w:szCs w:val="28"/>
              </w:rPr>
              <w:t>　</w:t>
            </w:r>
          </w:p>
        </w:tc>
      </w:tr>
      <w:tr>
        <w:tblPrEx>
          <w:tblLayout w:type="fixed"/>
          <w:tblCellMar>
            <w:top w:w="15" w:type="dxa"/>
            <w:left w:w="15" w:type="dxa"/>
            <w:bottom w:w="15" w:type="dxa"/>
            <w:right w:w="15" w:type="dxa"/>
          </w:tblCellMar>
        </w:tblPrEx>
        <w:trPr>
          <w:trHeight w:val="710" w:hRule="atLeast"/>
        </w:trPr>
        <w:tc>
          <w:tcPr>
            <w:tcW w:w="756" w:type="dxa"/>
            <w:tcBorders>
              <w:top w:val="single" w:color="000000" w:sz="4" w:space="0"/>
              <w:left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类型区</w:t>
            </w:r>
          </w:p>
        </w:tc>
        <w:tc>
          <w:tcPr>
            <w:tcW w:w="1235" w:type="dxa"/>
            <w:tcBorders>
              <w:top w:val="single" w:color="000000" w:sz="4" w:space="0"/>
              <w:left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类型亚区</w:t>
            </w:r>
          </w:p>
        </w:tc>
        <w:tc>
          <w:tcPr>
            <w:tcW w:w="1715" w:type="dxa"/>
            <w:tcBorders>
              <w:top w:val="single" w:color="000000" w:sz="4" w:space="0"/>
              <w:left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sz w:val="20"/>
                <w:szCs w:val="20"/>
              </w:rPr>
              <w:t>福建省</w:t>
            </w:r>
          </w:p>
        </w:tc>
        <w:tc>
          <w:tcPr>
            <w:tcW w:w="3647" w:type="dxa"/>
            <w:tcBorders>
              <w:top w:val="single" w:color="000000" w:sz="4" w:space="0"/>
              <w:left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县（市、区）</w:t>
            </w:r>
          </w:p>
        </w:tc>
        <w:tc>
          <w:tcPr>
            <w:tcW w:w="983" w:type="dxa"/>
            <w:tcBorders>
              <w:top w:val="single" w:color="000000" w:sz="4" w:space="0"/>
              <w:left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数量</w:t>
            </w:r>
          </w:p>
        </w:tc>
      </w:tr>
      <w:tr>
        <w:tblPrEx>
          <w:tblLayout w:type="fixed"/>
          <w:tblCellMar>
            <w:top w:w="15" w:type="dxa"/>
            <w:left w:w="15" w:type="dxa"/>
            <w:bottom w:w="15" w:type="dxa"/>
            <w:right w:w="15" w:type="dxa"/>
          </w:tblCellMar>
        </w:tblPrEx>
        <w:trPr>
          <w:trHeight w:val="493"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东南</w:t>
            </w:r>
          </w:p>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沿海</w:t>
            </w:r>
          </w:p>
          <w:p>
            <w:pPr>
              <w:widowControl/>
              <w:spacing w:line="240" w:lineRule="exac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地区</w:t>
            </w: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浙东南闽东</w:t>
            </w:r>
          </w:p>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基岩海岸山</w:t>
            </w:r>
          </w:p>
          <w:p>
            <w:pPr>
              <w:widowControl/>
              <w:spacing w:line="240" w:lineRule="exac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地丘陵区</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福州市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罗源、连江、闽清、闽侯</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4</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宁德市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福鼎、福安、霞浦、柘荣、古田、蕉城</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6</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闽中南沙质</w:t>
            </w:r>
          </w:p>
          <w:p>
            <w:pPr>
              <w:widowControl/>
              <w:spacing w:line="240" w:lineRule="exac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淤泥质丘陵</w:t>
            </w:r>
          </w:p>
          <w:p>
            <w:pPr>
              <w:widowControl/>
              <w:spacing w:line="240" w:lineRule="exac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台地区</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福州市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长乐、永泰、福清、马尾、仓山、晋安</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6</w:t>
            </w:r>
          </w:p>
        </w:tc>
      </w:tr>
      <w:tr>
        <w:tblPrEx>
          <w:tblLayout w:type="fixed"/>
          <w:tblCellMar>
            <w:top w:w="15" w:type="dxa"/>
            <w:left w:w="15" w:type="dxa"/>
            <w:bottom w:w="15" w:type="dxa"/>
            <w:right w:w="15" w:type="dxa"/>
          </w:tblCellMar>
        </w:tblPrEx>
        <w:trPr>
          <w:trHeight w:val="477"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平潭综合</w:t>
            </w:r>
            <w:r>
              <w:rPr>
                <w:rFonts w:hint="eastAsia" w:ascii="Times New Roman" w:hAnsi="Times New Roman" w:eastAsia="等线" w:cs="Times New Roman"/>
                <w:kern w:val="0"/>
                <w:sz w:val="20"/>
                <w:szCs w:val="20"/>
              </w:rPr>
              <w:t>实</w:t>
            </w:r>
            <w:r>
              <w:rPr>
                <w:rFonts w:ascii="Times New Roman" w:hAnsi="Times New Roman" w:eastAsia="等线" w:cs="Times New Roman"/>
                <w:kern w:val="0"/>
                <w:sz w:val="20"/>
                <w:szCs w:val="20"/>
              </w:rPr>
              <w:t>验区</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平潭</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1</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莆田市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仙游、涵江、城厢、荔城、秀屿</w:t>
            </w:r>
          </w:p>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（含北岸、湄洲管委会）</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5</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泉州市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惠安（含台商管委会）、晋江、石狮、南安、永春、安溪、德化、洛江、泉港、丰泽</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10</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漳州市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龙海、漳浦、云霄、东山、诏安、长泰、南靖、平和、华安、芗城、龙文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11</w:t>
            </w:r>
          </w:p>
        </w:tc>
      </w:tr>
      <w:tr>
        <w:tblPrEx>
          <w:tblLayout w:type="fixed"/>
          <w:tblCellMar>
            <w:top w:w="15" w:type="dxa"/>
            <w:left w:w="15" w:type="dxa"/>
            <w:bottom w:w="15" w:type="dxa"/>
            <w:right w:w="15" w:type="dxa"/>
          </w:tblCellMar>
        </w:tblPrEx>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厦门市</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同安、集美、海沧、翔安、思明、湖里</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sz w:val="20"/>
                <w:szCs w:val="20"/>
              </w:rPr>
            </w:pPr>
            <w:r>
              <w:rPr>
                <w:rFonts w:ascii="Times New Roman" w:hAnsi="Times New Roman" w:eastAsia="等线" w:cs="Times New Roman"/>
                <w:kern w:val="0"/>
                <w:sz w:val="20"/>
                <w:szCs w:val="20"/>
              </w:rPr>
              <w:t>6</w:t>
            </w:r>
          </w:p>
        </w:tc>
      </w:tr>
      <w:tr>
        <w:tblPrEx>
          <w:tblLayout w:type="fixed"/>
          <w:tblCellMar>
            <w:top w:w="15" w:type="dxa"/>
            <w:left w:w="15" w:type="dxa"/>
            <w:bottom w:w="15" w:type="dxa"/>
            <w:right w:w="15" w:type="dxa"/>
          </w:tblCellMar>
        </w:tblPrEx>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r>
              <w:rPr>
                <w:rFonts w:ascii="Times New Roman" w:hAnsi="Times New Roman" w:eastAsia="等线" w:cs="Times New Roman"/>
                <w:sz w:val="20"/>
                <w:szCs w:val="20"/>
              </w:rPr>
              <w:t>合计</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Times New Roman" w:hAnsi="Times New Roman" w:eastAsia="等线" w:cs="Times New Roman"/>
                <w:sz w:val="20"/>
                <w:szCs w:val="20"/>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kern w:val="0"/>
                <w:sz w:val="20"/>
                <w:szCs w:val="20"/>
              </w:rPr>
            </w:pP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等线" w:cs="Times New Roman"/>
                <w:kern w:val="0"/>
                <w:sz w:val="20"/>
                <w:szCs w:val="20"/>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Times New Roman" w:hAnsi="Times New Roman" w:eastAsia="等线" w:cs="Times New Roman"/>
                <w:kern w:val="0"/>
                <w:sz w:val="20"/>
                <w:szCs w:val="20"/>
              </w:rPr>
            </w:pPr>
            <w:r>
              <w:rPr>
                <w:rFonts w:ascii="Times New Roman" w:hAnsi="Times New Roman" w:eastAsia="等线" w:cs="Times New Roman"/>
                <w:kern w:val="0"/>
                <w:sz w:val="20"/>
                <w:szCs w:val="20"/>
              </w:rPr>
              <w:t>49</w:t>
            </w:r>
          </w:p>
        </w:tc>
      </w:tr>
    </w:tbl>
    <w:p>
      <w:pPr>
        <w:ind w:firstLine="560" w:firstLineChars="200"/>
        <w:rPr>
          <w:rFonts w:ascii="Times New Roman" w:hAnsi="Times New Roman" w:cs="Times New Roman"/>
          <w:sz w:val="28"/>
          <w:szCs w:val="28"/>
        </w:rPr>
        <w:sectPr>
          <w:pgSz w:w="11906" w:h="16838"/>
          <w:pgMar w:top="1440" w:right="1800" w:bottom="1440" w:left="1800" w:header="851" w:footer="992" w:gutter="0"/>
          <w:cols w:space="425" w:num="1"/>
          <w:docGrid w:type="lines" w:linePitch="312" w:charSpace="0"/>
        </w:sectPr>
      </w:pPr>
    </w:p>
    <w:p>
      <w:pPr>
        <w:pStyle w:val="2"/>
        <w:spacing w:beforeLines="100" w:afterLines="100" w:line="240" w:lineRule="auto"/>
        <w:jc w:val="center"/>
        <w:rPr>
          <w:rFonts w:ascii="Times New Roman" w:hAnsi="Times New Roman" w:eastAsia="微软雅黑" w:cs="Times New Roman"/>
          <w:sz w:val="32"/>
          <w:szCs w:val="32"/>
        </w:rPr>
      </w:pPr>
      <w:bookmarkStart w:id="48" w:name="_Toc3254"/>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五</w:t>
      </w:r>
      <w:r>
        <w:rPr>
          <w:rFonts w:ascii="Times New Roman" w:hAnsi="Times New Roman" w:eastAsia="微软雅黑" w:cs="Times New Roman"/>
          <w:sz w:val="32"/>
          <w:szCs w:val="32"/>
        </w:rPr>
        <w:t>章 工程建设内容与任务</w:t>
      </w:r>
      <w:bookmarkEnd w:id="47"/>
      <w:bookmarkEnd w:id="48"/>
    </w:p>
    <w:p>
      <w:pPr>
        <w:ind w:firstLine="543" w:firstLineChars="194"/>
        <w:rPr>
          <w:rFonts w:hint="default" w:ascii="Times New Roman" w:hAnsi="Times New Roman" w:eastAsia="宋体" w:cs="Times New Roman"/>
        </w:rPr>
      </w:pPr>
      <w:r>
        <w:rPr>
          <w:rFonts w:hint="default" w:ascii="Times New Roman" w:hAnsi="Times New Roman" w:eastAsia="宋体" w:cs="Times New Roman"/>
          <w:sz w:val="28"/>
          <w:szCs w:val="28"/>
        </w:rPr>
        <w:t>福建省沿海防护林体系建设以沿海基干林带建设、纵深防护林建设、科技支撑体系建设和基础设施建设等四大工程为主，加强经营全过程的质量管控，达到“调结构、提质量、增效益”目标，实现沿海防护林体系质量的精准提升，切实增强沿海防护林体系的综合性服务功能。</w:t>
      </w:r>
    </w:p>
    <w:p>
      <w:pPr>
        <w:pStyle w:val="4"/>
        <w:spacing w:before="0" w:after="0" w:line="240" w:lineRule="auto"/>
        <w:ind w:firstLine="600" w:firstLineChars="200"/>
        <w:rPr>
          <w:rFonts w:ascii="Times New Roman" w:hAnsi="Times New Roman" w:eastAsia="微软雅黑" w:cs="Times New Roman"/>
          <w:sz w:val="30"/>
          <w:szCs w:val="30"/>
        </w:rPr>
      </w:pPr>
      <w:bookmarkStart w:id="49" w:name="_Toc31342"/>
      <w:bookmarkStart w:id="50" w:name="_Toc505330729"/>
      <w:r>
        <w:rPr>
          <w:rFonts w:ascii="Times New Roman" w:hAnsi="Times New Roman" w:eastAsia="微软雅黑" w:cs="Times New Roman"/>
          <w:sz w:val="30"/>
          <w:szCs w:val="30"/>
        </w:rPr>
        <w:t>一、沿海基干林带建设</w:t>
      </w:r>
      <w:bookmarkEnd w:id="49"/>
      <w:bookmarkEnd w:id="50"/>
    </w:p>
    <w:p>
      <w:pPr>
        <w:ind w:firstLine="543" w:firstLineChars="194"/>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沿海基干林带是沿海防护林体系的主体，是沿海防护林体系工程建设的核心。建设内容主要包括人工造林、灾损基干林带修复和老化基干林带更新。</w:t>
      </w:r>
    </w:p>
    <w:p>
      <w:pPr>
        <w:ind w:firstLine="543" w:firstLineChars="194"/>
        <w:rPr>
          <w:rFonts w:hint="default" w:ascii="Times New Roman" w:hAnsi="Times New Roman" w:eastAsia="宋体" w:cs="Times New Roman"/>
          <w:b/>
          <w:sz w:val="28"/>
          <w:szCs w:val="28"/>
        </w:rPr>
      </w:pPr>
      <w:r>
        <w:rPr>
          <w:rFonts w:hint="default" w:ascii="Times New Roman" w:hAnsi="Times New Roman" w:eastAsia="宋体" w:cs="Times New Roman"/>
          <w:sz w:val="28"/>
          <w:szCs w:val="28"/>
        </w:rPr>
        <w:t>规划期内沿海基干林带建设面积22297公顷，其中前期建设面积12640公顷，占总任务的56.69%；后期建设面积9657公顷，占总任务的43.31%。其中：</w:t>
      </w:r>
    </w:p>
    <w:p>
      <w:pPr>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人工造林：</w:t>
      </w:r>
      <w:r>
        <w:rPr>
          <w:rFonts w:hint="default" w:ascii="Times New Roman" w:hAnsi="Times New Roman" w:eastAsia="宋体" w:cs="Times New Roman"/>
          <w:sz w:val="28"/>
          <w:szCs w:val="28"/>
        </w:rPr>
        <w:t>对基干林带范围内可造林地进行造林绿化（含退塘（耕）造林）。规划期内沿海基干林带人工造林面积3840公顷，占建设任务的17.22%。</w:t>
      </w:r>
    </w:p>
    <w:p>
      <w:pPr>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灾损基干林带修复：</w:t>
      </w:r>
      <w:r>
        <w:rPr>
          <w:rFonts w:hint="default" w:ascii="Times New Roman" w:hAnsi="Times New Roman" w:eastAsia="宋体" w:cs="Times New Roman"/>
          <w:sz w:val="28"/>
          <w:szCs w:val="28"/>
        </w:rPr>
        <w:t>对因台风、风暴潮等自然灾害损毁的基干林带进行清理、补植和补造。规划期内沿海基干林带灾损基干林带修复面积13627公顷，占61.12%。</w:t>
      </w:r>
    </w:p>
    <w:p>
      <w:pPr>
        <w:ind w:firstLine="543" w:firstLineChars="193"/>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b/>
          <w:sz w:val="28"/>
          <w:szCs w:val="28"/>
        </w:rPr>
        <w:t>老化基干林带更新：</w:t>
      </w:r>
      <w:r>
        <w:rPr>
          <w:rFonts w:hint="default" w:ascii="Times New Roman" w:hAnsi="Times New Roman" w:eastAsia="宋体" w:cs="Times New Roman"/>
          <w:sz w:val="28"/>
          <w:szCs w:val="28"/>
        </w:rPr>
        <w:t>对于树龄老化、生长量下降、防护功能下降、郁闭度低的稀疏老化基干林带进行更新改造。规划期内老化基干林带更新</w:t>
      </w:r>
      <w:r>
        <w:rPr>
          <w:rFonts w:hint="default" w:ascii="Times New Roman" w:hAnsi="Times New Roman" w:eastAsia="宋体" w:cs="Times New Roman"/>
          <w:color w:val="000000" w:themeColor="text1"/>
          <w:sz w:val="28"/>
          <w:szCs w:val="28"/>
        </w:rPr>
        <w:t>面积4830公顷，占21.66%。</w:t>
      </w:r>
    </w:p>
    <w:p>
      <w:pPr>
        <w:ind w:firstLine="540" w:firstLineChars="193"/>
        <w:rPr>
          <w:rFonts w:hint="default" w:ascii="Times New Roman" w:hAnsi="Times New Roman" w:eastAsia="宋体" w:cs="Times New Roman"/>
          <w:color w:val="FF0000"/>
          <w:sz w:val="24"/>
          <w:szCs w:val="24"/>
        </w:rPr>
      </w:pPr>
      <w:r>
        <w:rPr>
          <w:rFonts w:hint="default" w:ascii="Times New Roman" w:hAnsi="Times New Roman" w:eastAsia="宋体" w:cs="Times New Roman"/>
          <w:color w:val="000000" w:themeColor="text1"/>
          <w:sz w:val="28"/>
          <w:szCs w:val="28"/>
        </w:rPr>
        <w:t>详见附表7、图5-1。</w:t>
      </w:r>
    </w:p>
    <w:p>
      <w:pPr>
        <w:ind w:firstLine="405"/>
        <w:jc w:val="center"/>
      </w:pPr>
      <w:r>
        <w:drawing>
          <wp:inline distT="0" distB="0" distL="114300" distR="114300">
            <wp:extent cx="3619500" cy="1980565"/>
            <wp:effectExtent l="4445" t="4445" r="14605" b="1524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firstLine="405"/>
        <w:jc w:val="center"/>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图5</w:t>
      </w:r>
      <w:r>
        <w:rPr>
          <w:rFonts w:ascii="Times New Roman" w:hAnsi="Times New Roman" w:cs="Times New Roman"/>
          <w:color w:val="000000" w:themeColor="text1"/>
          <w:sz w:val="24"/>
          <w:szCs w:val="24"/>
        </w:rPr>
        <w:t>-1  沿海基干林带规划建设面积比例</w:t>
      </w:r>
    </w:p>
    <w:p>
      <w:pPr>
        <w:ind w:firstLine="405"/>
        <w:rPr>
          <w:rFonts w:ascii="Times New Roman" w:hAnsi="Times New Roman" w:cs="Times New Roman"/>
          <w:color w:val="FF0000"/>
          <w:sz w:val="24"/>
          <w:szCs w:val="24"/>
        </w:rPr>
      </w:pPr>
    </w:p>
    <w:p>
      <w:pPr>
        <w:pStyle w:val="5"/>
        <w:spacing w:before="0" w:after="0" w:line="240" w:lineRule="auto"/>
        <w:ind w:firstLine="562" w:firstLineChars="200"/>
        <w:rPr>
          <w:rFonts w:hint="default" w:ascii="Times New Roman" w:hAnsi="Times New Roman" w:eastAsia="宋体" w:cs="Times New Roman"/>
          <w:sz w:val="28"/>
          <w:szCs w:val="28"/>
        </w:rPr>
      </w:pPr>
      <w:bookmarkStart w:id="51" w:name="_Toc505330730"/>
      <w:r>
        <w:rPr>
          <w:rFonts w:hint="default" w:ascii="Times New Roman" w:hAnsi="Times New Roman" w:eastAsia="宋体" w:cs="Times New Roman"/>
          <w:sz w:val="28"/>
          <w:szCs w:val="28"/>
        </w:rPr>
        <w:t>（一）一级基干林带</w:t>
      </w:r>
      <w:bookmarkEnd w:id="51"/>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建设范围：</w:t>
      </w:r>
      <w:r>
        <w:rPr>
          <w:rFonts w:hint="default" w:ascii="Times New Roman" w:hAnsi="Times New Roman" w:eastAsia="宋体" w:cs="Times New Roman"/>
          <w:sz w:val="28"/>
          <w:szCs w:val="28"/>
        </w:rPr>
        <w:t>海岸线以下适宜营造红树林的浅海水域、潮间带、近海滩涂及河口。</w:t>
      </w:r>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建设内容：</w:t>
      </w:r>
      <w:r>
        <w:rPr>
          <w:rFonts w:hint="default" w:ascii="Times New Roman" w:hAnsi="Times New Roman" w:eastAsia="宋体" w:cs="Times New Roman"/>
          <w:sz w:val="28"/>
          <w:szCs w:val="28"/>
        </w:rPr>
        <w:t>对适宜营造红树林生长的滩涂地进行红树林造林。尤其是目前被渔业生产等占用的红树林滩涂地，通过政府引导，并给予适当经济补偿方式，逐步实行退塘造林。</w:t>
      </w:r>
    </w:p>
    <w:p>
      <w:pPr>
        <w:spacing w:line="560" w:lineRule="exact"/>
        <w:ind w:firstLine="540" w:firstLineChars="193"/>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建设期内，规划营造红树林人工林面积730公顷，其中前期造林415公顷，后期造林315公顷。</w:t>
      </w:r>
    </w:p>
    <w:p>
      <w:pPr>
        <w:pStyle w:val="5"/>
        <w:spacing w:before="0" w:after="0" w:line="240" w:lineRule="auto"/>
        <w:ind w:firstLine="562" w:firstLineChars="200"/>
        <w:rPr>
          <w:rFonts w:hint="default" w:ascii="Times New Roman" w:hAnsi="Times New Roman" w:eastAsia="宋体" w:cs="Times New Roman"/>
          <w:sz w:val="28"/>
          <w:szCs w:val="28"/>
        </w:rPr>
      </w:pPr>
      <w:bookmarkStart w:id="52" w:name="_Toc505330731"/>
      <w:r>
        <w:rPr>
          <w:rFonts w:hint="default" w:ascii="Times New Roman" w:hAnsi="Times New Roman" w:eastAsia="宋体" w:cs="Times New Roman"/>
          <w:sz w:val="28"/>
          <w:szCs w:val="28"/>
        </w:rPr>
        <w:t>（二）二级基干林带</w:t>
      </w:r>
      <w:bookmarkEnd w:id="52"/>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建设范围：</w:t>
      </w:r>
      <w:r>
        <w:rPr>
          <w:rFonts w:hint="default" w:ascii="Times New Roman" w:hAnsi="Times New Roman" w:eastAsia="宋体" w:cs="Times New Roman"/>
          <w:sz w:val="28"/>
          <w:szCs w:val="28"/>
        </w:rPr>
        <w:t>泥质岸段为从海岸能植树的地方起，向陆地延伸，林带宽度达200米以上；沙质岸段为从海滩能植树的地方起，向陆地延伸，林带宽度不小于300米，若200米范围内无林地小班则延伸至500米；岩质岸段为沿海一面坡，面向大海坡面的全部防护林岩质岸段为临海第一道山脊的临海坡面，若一条林带达不到宽度，可因地制宜营造多条林带。</w:t>
      </w:r>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建设内容：</w:t>
      </w:r>
      <w:r>
        <w:rPr>
          <w:rFonts w:hint="default" w:ascii="Times New Roman" w:hAnsi="Times New Roman" w:eastAsia="宋体" w:cs="Times New Roman"/>
          <w:sz w:val="28"/>
          <w:szCs w:val="28"/>
        </w:rPr>
        <w:t>一是对达不到标准宽度的林带、断带缺口地段以及新围垦区范围进行加宽、补缺或重新造林，对规划建设范围内的农地、鱼塘，通过政府引导，采取征地或租地造林方式退塘（耕）造林；二是对因各种自然、人为原因而受破坏的残破、稀疏、灾损林带，通过清除灾损木、补植补造等措施进行修复；三是对生长停滞、防护功能严重下降的老化基干林带进行更新改造，基干林带的更新改造应严格执行审批制度，更新方式采取林冠下更新、分行更新、隔带更新等。</w:t>
      </w:r>
    </w:p>
    <w:p>
      <w:pPr>
        <w:spacing w:line="560" w:lineRule="exact"/>
        <w:ind w:firstLine="540" w:firstLineChars="193"/>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建设期内规划二级基干林带建设面积</w:t>
      </w:r>
      <w:r>
        <w:rPr>
          <w:rFonts w:hint="default" w:ascii="Times New Roman" w:hAnsi="Times New Roman" w:eastAsia="宋体" w:cs="Times New Roman"/>
          <w:kern w:val="0"/>
          <w:sz w:val="28"/>
          <w:szCs w:val="28"/>
        </w:rPr>
        <w:t>15313</w:t>
      </w:r>
      <w:r>
        <w:rPr>
          <w:rFonts w:hint="default" w:ascii="Times New Roman" w:hAnsi="Times New Roman" w:eastAsia="宋体" w:cs="Times New Roman"/>
          <w:sz w:val="28"/>
          <w:szCs w:val="28"/>
        </w:rPr>
        <w:t>公顷，其中前期建设面积</w:t>
      </w:r>
      <w:r>
        <w:rPr>
          <w:rFonts w:hint="default" w:ascii="Times New Roman" w:hAnsi="Times New Roman" w:eastAsia="宋体" w:cs="Times New Roman"/>
          <w:kern w:val="0"/>
          <w:sz w:val="28"/>
          <w:szCs w:val="28"/>
        </w:rPr>
        <w:t>8666</w:t>
      </w:r>
      <w:r>
        <w:rPr>
          <w:rFonts w:hint="default" w:ascii="Times New Roman" w:hAnsi="Times New Roman" w:eastAsia="宋体" w:cs="Times New Roman"/>
          <w:sz w:val="28"/>
          <w:szCs w:val="28"/>
        </w:rPr>
        <w:t>公顷，后期建设面积</w:t>
      </w:r>
      <w:r>
        <w:rPr>
          <w:rFonts w:hint="default" w:ascii="Times New Roman" w:hAnsi="Times New Roman" w:eastAsia="宋体" w:cs="Times New Roman"/>
          <w:kern w:val="0"/>
          <w:sz w:val="28"/>
          <w:szCs w:val="28"/>
        </w:rPr>
        <w:t>6647</w:t>
      </w:r>
      <w:r>
        <w:rPr>
          <w:rFonts w:hint="default" w:ascii="Times New Roman" w:hAnsi="Times New Roman" w:eastAsia="宋体" w:cs="Times New Roman"/>
          <w:sz w:val="28"/>
          <w:szCs w:val="28"/>
        </w:rPr>
        <w:t>公顷。人工造林面积</w:t>
      </w:r>
      <w:r>
        <w:rPr>
          <w:rFonts w:hint="default" w:ascii="Times New Roman" w:hAnsi="Times New Roman" w:eastAsia="宋体" w:cs="Times New Roman"/>
          <w:kern w:val="0"/>
          <w:sz w:val="28"/>
          <w:szCs w:val="28"/>
        </w:rPr>
        <w:t>1881</w:t>
      </w:r>
      <w:r>
        <w:rPr>
          <w:rFonts w:hint="default" w:ascii="Times New Roman" w:hAnsi="Times New Roman" w:eastAsia="宋体" w:cs="Times New Roman"/>
          <w:sz w:val="28"/>
          <w:szCs w:val="28"/>
        </w:rPr>
        <w:t>公顷，其中前期</w:t>
      </w:r>
      <w:r>
        <w:rPr>
          <w:rFonts w:hint="default" w:ascii="Times New Roman" w:hAnsi="Times New Roman" w:eastAsia="宋体" w:cs="Times New Roman"/>
          <w:kern w:val="0"/>
          <w:sz w:val="28"/>
          <w:szCs w:val="28"/>
        </w:rPr>
        <w:t>1071</w:t>
      </w:r>
      <w:r>
        <w:rPr>
          <w:rFonts w:hint="default" w:ascii="Times New Roman" w:hAnsi="Times New Roman" w:eastAsia="宋体" w:cs="Times New Roman"/>
          <w:sz w:val="28"/>
          <w:szCs w:val="28"/>
        </w:rPr>
        <w:t>公顷，后期</w:t>
      </w:r>
      <w:r>
        <w:rPr>
          <w:rFonts w:hint="default" w:ascii="Times New Roman" w:hAnsi="Times New Roman" w:eastAsia="宋体" w:cs="Times New Roman"/>
          <w:kern w:val="0"/>
          <w:sz w:val="28"/>
          <w:szCs w:val="28"/>
        </w:rPr>
        <w:t>810</w:t>
      </w:r>
      <w:r>
        <w:rPr>
          <w:rFonts w:hint="default" w:ascii="Times New Roman" w:hAnsi="Times New Roman" w:eastAsia="宋体" w:cs="Times New Roman"/>
          <w:sz w:val="28"/>
          <w:szCs w:val="28"/>
        </w:rPr>
        <w:t>公顷；灾损基干林带修复面积</w:t>
      </w:r>
      <w:r>
        <w:rPr>
          <w:rFonts w:hint="default" w:ascii="Times New Roman" w:hAnsi="Times New Roman" w:eastAsia="宋体" w:cs="Times New Roman"/>
          <w:kern w:val="0"/>
          <w:sz w:val="28"/>
          <w:szCs w:val="28"/>
        </w:rPr>
        <w:t>8602</w:t>
      </w:r>
      <w:r>
        <w:rPr>
          <w:rFonts w:hint="default" w:ascii="Times New Roman" w:hAnsi="Times New Roman" w:eastAsia="宋体" w:cs="Times New Roman"/>
          <w:sz w:val="28"/>
          <w:szCs w:val="28"/>
        </w:rPr>
        <w:t>公顷，其中前期</w:t>
      </w:r>
      <w:r>
        <w:rPr>
          <w:rFonts w:hint="default" w:ascii="Times New Roman" w:hAnsi="Times New Roman" w:eastAsia="宋体" w:cs="Times New Roman"/>
          <w:kern w:val="0"/>
          <w:sz w:val="28"/>
          <w:szCs w:val="28"/>
        </w:rPr>
        <w:t>4933</w:t>
      </w:r>
      <w:r>
        <w:rPr>
          <w:rFonts w:hint="default" w:ascii="Times New Roman" w:hAnsi="Times New Roman" w:eastAsia="宋体" w:cs="Times New Roman"/>
          <w:sz w:val="28"/>
          <w:szCs w:val="28"/>
        </w:rPr>
        <w:t>公顷，后期</w:t>
      </w:r>
      <w:r>
        <w:rPr>
          <w:rFonts w:hint="default" w:ascii="Times New Roman" w:hAnsi="Times New Roman" w:eastAsia="宋体" w:cs="Times New Roman"/>
          <w:kern w:val="0"/>
          <w:sz w:val="28"/>
          <w:szCs w:val="28"/>
        </w:rPr>
        <w:t>3669</w:t>
      </w:r>
      <w:r>
        <w:rPr>
          <w:rFonts w:hint="default" w:ascii="Times New Roman" w:hAnsi="Times New Roman" w:eastAsia="宋体" w:cs="Times New Roman"/>
          <w:sz w:val="28"/>
          <w:szCs w:val="28"/>
        </w:rPr>
        <w:t>公顷；老化基干林带更新面积</w:t>
      </w:r>
      <w:r>
        <w:rPr>
          <w:rFonts w:hint="default" w:ascii="Times New Roman" w:hAnsi="Times New Roman" w:eastAsia="宋体" w:cs="Times New Roman"/>
          <w:kern w:val="0"/>
          <w:sz w:val="28"/>
          <w:szCs w:val="28"/>
        </w:rPr>
        <w:t>4830</w:t>
      </w:r>
      <w:r>
        <w:rPr>
          <w:rFonts w:hint="default" w:ascii="Times New Roman" w:hAnsi="Times New Roman" w:eastAsia="宋体" w:cs="Times New Roman"/>
          <w:sz w:val="28"/>
          <w:szCs w:val="28"/>
        </w:rPr>
        <w:t>公顷，其中前期</w:t>
      </w:r>
      <w:r>
        <w:rPr>
          <w:rFonts w:hint="default" w:ascii="Times New Roman" w:hAnsi="Times New Roman" w:eastAsia="宋体" w:cs="Times New Roman"/>
          <w:kern w:val="0"/>
          <w:sz w:val="28"/>
          <w:szCs w:val="28"/>
        </w:rPr>
        <w:t>2662</w:t>
      </w:r>
      <w:r>
        <w:rPr>
          <w:rFonts w:hint="default" w:ascii="Times New Roman" w:hAnsi="Times New Roman" w:eastAsia="宋体" w:cs="Times New Roman"/>
          <w:sz w:val="28"/>
          <w:szCs w:val="28"/>
        </w:rPr>
        <w:t>公顷，后期</w:t>
      </w:r>
      <w:r>
        <w:rPr>
          <w:rFonts w:hint="default" w:ascii="Times New Roman" w:hAnsi="Times New Roman" w:eastAsia="宋体" w:cs="Times New Roman"/>
          <w:kern w:val="0"/>
          <w:sz w:val="28"/>
          <w:szCs w:val="28"/>
        </w:rPr>
        <w:t>2168</w:t>
      </w:r>
      <w:r>
        <w:rPr>
          <w:rFonts w:hint="default" w:ascii="Times New Roman" w:hAnsi="Times New Roman" w:eastAsia="宋体" w:cs="Times New Roman"/>
          <w:sz w:val="28"/>
          <w:szCs w:val="28"/>
        </w:rPr>
        <w:t>公顷。</w:t>
      </w:r>
    </w:p>
    <w:p>
      <w:pPr>
        <w:pStyle w:val="5"/>
        <w:spacing w:before="0" w:after="0" w:line="240" w:lineRule="auto"/>
        <w:ind w:firstLine="562" w:firstLineChars="200"/>
        <w:rPr>
          <w:rFonts w:hint="default" w:ascii="Times New Roman" w:hAnsi="Times New Roman" w:eastAsia="宋体" w:cs="Times New Roman"/>
          <w:sz w:val="28"/>
          <w:szCs w:val="28"/>
        </w:rPr>
      </w:pPr>
      <w:bookmarkStart w:id="53" w:name="_Toc505330732"/>
      <w:r>
        <w:rPr>
          <w:rFonts w:hint="default" w:ascii="Times New Roman" w:hAnsi="Times New Roman" w:eastAsia="宋体" w:cs="Times New Roman"/>
          <w:sz w:val="28"/>
          <w:szCs w:val="28"/>
        </w:rPr>
        <w:t>（三）三级基干林带</w:t>
      </w:r>
      <w:bookmarkEnd w:id="53"/>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建设范围：</w:t>
      </w:r>
      <w:r>
        <w:rPr>
          <w:rFonts w:hint="default" w:ascii="Times New Roman" w:hAnsi="Times New Roman" w:eastAsia="宋体" w:cs="Times New Roman"/>
          <w:bCs/>
          <w:sz w:val="28"/>
          <w:szCs w:val="28"/>
        </w:rPr>
        <w:t>泥岸、沙岸从海</w:t>
      </w:r>
      <w:r>
        <w:rPr>
          <w:rFonts w:hint="default" w:ascii="Times New Roman" w:hAnsi="Times New Roman" w:eastAsia="宋体" w:cs="Times New Roman"/>
          <w:sz w:val="28"/>
          <w:szCs w:val="28"/>
        </w:rPr>
        <w:t>岸能植树的地方开始，向陆地延伸至1公里，除一、二级基干林带外的全部防护林带；岩质海岸从第一座山脊至第一重山脊间的区域。</w:t>
      </w:r>
    </w:p>
    <w:p>
      <w:pPr>
        <w:spacing w:line="560" w:lineRule="exact"/>
        <w:ind w:firstLine="543" w:firstLineChars="193"/>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建设内容：</w:t>
      </w:r>
      <w:r>
        <w:rPr>
          <w:rFonts w:hint="default" w:ascii="Times New Roman" w:hAnsi="Times New Roman" w:eastAsia="宋体" w:cs="Times New Roman"/>
          <w:sz w:val="28"/>
          <w:szCs w:val="28"/>
        </w:rPr>
        <w:t>一是结合规划范围内沟、渠、河堤、道路绿化和农田林网建设，因地制宜地开展宜林地段人工造林，对原有未达标林带进行加宽造林，以达到规划宽度；二是通过清除灾损木、补植补造等措施对灾损林带进行修复，提高沿海基干林带抵御台风、风暴潮的整体功能。</w:t>
      </w:r>
    </w:p>
    <w:p>
      <w:pPr>
        <w:spacing w:line="560" w:lineRule="exact"/>
        <w:ind w:firstLine="540" w:firstLineChars="193"/>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建设期内规划三级基干林带建设面积</w:t>
      </w:r>
      <w:r>
        <w:rPr>
          <w:rFonts w:hint="default" w:ascii="Times New Roman" w:hAnsi="Times New Roman" w:eastAsia="宋体" w:cs="Times New Roman"/>
          <w:kern w:val="0"/>
          <w:sz w:val="28"/>
          <w:szCs w:val="28"/>
        </w:rPr>
        <w:t>6257</w:t>
      </w:r>
      <w:r>
        <w:rPr>
          <w:rFonts w:hint="default" w:ascii="Times New Roman" w:hAnsi="Times New Roman" w:eastAsia="宋体" w:cs="Times New Roman"/>
          <w:sz w:val="28"/>
          <w:szCs w:val="28"/>
        </w:rPr>
        <w:t>公顷，其中前期建设面积</w:t>
      </w:r>
      <w:r>
        <w:rPr>
          <w:rFonts w:hint="default" w:ascii="Times New Roman" w:hAnsi="Times New Roman" w:eastAsia="宋体" w:cs="Times New Roman"/>
          <w:kern w:val="0"/>
          <w:sz w:val="28"/>
          <w:szCs w:val="28"/>
        </w:rPr>
        <w:t>3556</w:t>
      </w:r>
      <w:r>
        <w:rPr>
          <w:rFonts w:hint="default" w:ascii="Times New Roman" w:hAnsi="Times New Roman" w:eastAsia="宋体" w:cs="Times New Roman"/>
          <w:sz w:val="28"/>
          <w:szCs w:val="28"/>
        </w:rPr>
        <w:t>公顷，后期建设面积</w:t>
      </w:r>
      <w:r>
        <w:rPr>
          <w:rFonts w:hint="default" w:ascii="Times New Roman" w:hAnsi="Times New Roman" w:eastAsia="宋体" w:cs="Times New Roman"/>
          <w:kern w:val="0"/>
          <w:sz w:val="28"/>
          <w:szCs w:val="28"/>
        </w:rPr>
        <w:t>2701</w:t>
      </w:r>
      <w:r>
        <w:rPr>
          <w:rFonts w:hint="default" w:ascii="Times New Roman" w:hAnsi="Times New Roman" w:eastAsia="宋体" w:cs="Times New Roman"/>
          <w:sz w:val="28"/>
          <w:szCs w:val="28"/>
        </w:rPr>
        <w:t>公顷。人工造林面积</w:t>
      </w:r>
      <w:r>
        <w:rPr>
          <w:rFonts w:hint="default" w:ascii="Times New Roman" w:hAnsi="Times New Roman" w:eastAsia="宋体" w:cs="Times New Roman"/>
          <w:kern w:val="0"/>
          <w:sz w:val="28"/>
          <w:szCs w:val="28"/>
        </w:rPr>
        <w:t>1227</w:t>
      </w:r>
      <w:r>
        <w:rPr>
          <w:rFonts w:hint="default" w:ascii="Times New Roman" w:hAnsi="Times New Roman" w:eastAsia="宋体" w:cs="Times New Roman"/>
          <w:sz w:val="28"/>
          <w:szCs w:val="28"/>
        </w:rPr>
        <w:t>公顷，其中前期</w:t>
      </w:r>
      <w:r>
        <w:rPr>
          <w:rFonts w:hint="default" w:ascii="Times New Roman" w:hAnsi="Times New Roman" w:eastAsia="宋体" w:cs="Times New Roman"/>
          <w:kern w:val="0"/>
          <w:sz w:val="28"/>
          <w:szCs w:val="28"/>
        </w:rPr>
        <w:t>699</w:t>
      </w:r>
      <w:r>
        <w:rPr>
          <w:rFonts w:hint="default" w:ascii="Times New Roman" w:hAnsi="Times New Roman" w:eastAsia="宋体" w:cs="Times New Roman"/>
          <w:sz w:val="28"/>
          <w:szCs w:val="28"/>
        </w:rPr>
        <w:t>公顷，后期</w:t>
      </w:r>
      <w:r>
        <w:rPr>
          <w:rFonts w:hint="default" w:ascii="Times New Roman" w:hAnsi="Times New Roman" w:eastAsia="宋体" w:cs="Times New Roman"/>
          <w:kern w:val="0"/>
          <w:sz w:val="28"/>
          <w:szCs w:val="28"/>
        </w:rPr>
        <w:t>528</w:t>
      </w:r>
      <w:r>
        <w:rPr>
          <w:rFonts w:hint="default" w:ascii="Times New Roman" w:hAnsi="Times New Roman" w:eastAsia="宋体" w:cs="Times New Roman"/>
          <w:sz w:val="28"/>
          <w:szCs w:val="28"/>
        </w:rPr>
        <w:t>公顷；灾损基干林带修复面积</w:t>
      </w:r>
      <w:r>
        <w:rPr>
          <w:rFonts w:hint="default" w:ascii="Times New Roman" w:hAnsi="Times New Roman" w:eastAsia="宋体" w:cs="Times New Roman"/>
          <w:kern w:val="0"/>
          <w:sz w:val="28"/>
          <w:szCs w:val="28"/>
        </w:rPr>
        <w:t>5030</w:t>
      </w:r>
      <w:r>
        <w:rPr>
          <w:rFonts w:hint="default" w:ascii="Times New Roman" w:hAnsi="Times New Roman" w:eastAsia="宋体" w:cs="Times New Roman"/>
          <w:sz w:val="28"/>
          <w:szCs w:val="28"/>
        </w:rPr>
        <w:t>公顷，其中前期</w:t>
      </w:r>
      <w:r>
        <w:rPr>
          <w:rFonts w:hint="default" w:ascii="Times New Roman" w:hAnsi="Times New Roman" w:eastAsia="宋体" w:cs="Times New Roman"/>
          <w:kern w:val="0"/>
          <w:sz w:val="28"/>
          <w:szCs w:val="28"/>
        </w:rPr>
        <w:t>2857</w:t>
      </w:r>
      <w:r>
        <w:rPr>
          <w:rFonts w:hint="default" w:ascii="Times New Roman" w:hAnsi="Times New Roman" w:eastAsia="宋体" w:cs="Times New Roman"/>
          <w:sz w:val="28"/>
          <w:szCs w:val="28"/>
        </w:rPr>
        <w:t>公顷，后期</w:t>
      </w:r>
      <w:r>
        <w:rPr>
          <w:rFonts w:hint="default" w:ascii="Times New Roman" w:hAnsi="Times New Roman" w:eastAsia="宋体" w:cs="Times New Roman"/>
          <w:kern w:val="0"/>
          <w:sz w:val="28"/>
          <w:szCs w:val="28"/>
        </w:rPr>
        <w:t>2173</w:t>
      </w:r>
      <w:r>
        <w:rPr>
          <w:rFonts w:hint="default" w:ascii="Times New Roman" w:hAnsi="Times New Roman" w:eastAsia="宋体" w:cs="Times New Roman"/>
          <w:sz w:val="28"/>
          <w:szCs w:val="28"/>
        </w:rPr>
        <w:t>公顷。</w:t>
      </w:r>
    </w:p>
    <w:p>
      <w:pPr>
        <w:pStyle w:val="4"/>
        <w:spacing w:before="0" w:after="0" w:line="240" w:lineRule="auto"/>
        <w:ind w:firstLine="600" w:firstLineChars="200"/>
        <w:rPr>
          <w:rFonts w:ascii="Times New Roman" w:hAnsi="Times New Roman" w:eastAsia="微软雅黑" w:cs="Times New Roman"/>
          <w:sz w:val="30"/>
          <w:szCs w:val="30"/>
        </w:rPr>
      </w:pPr>
      <w:bookmarkStart w:id="54" w:name="_Toc505330733"/>
      <w:bookmarkStart w:id="55" w:name="_Toc14850"/>
      <w:r>
        <w:rPr>
          <w:rFonts w:ascii="Times New Roman" w:hAnsi="Times New Roman" w:eastAsia="微软雅黑" w:cs="Times New Roman"/>
          <w:sz w:val="30"/>
          <w:szCs w:val="30"/>
        </w:rPr>
        <w:t>二、纵深防护林建设</w:t>
      </w:r>
      <w:bookmarkEnd w:id="54"/>
      <w:bookmarkEnd w:id="55"/>
    </w:p>
    <w:p>
      <w:pPr>
        <w:spacing w:line="560" w:lineRule="exact"/>
        <w:ind w:firstLine="540" w:firstLineChars="193"/>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纵深防护林是沿海防护林体系的重要组成部分，纵深防护林建设内容包括人工造林、封山育林和低效防护林改造。</w:t>
      </w:r>
    </w:p>
    <w:p>
      <w:pPr>
        <w:ind w:firstLine="540" w:firstLineChars="193"/>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建设期内纵深防护林规划面积86713公顷。其中，人工造林面积2007公顷，占建设任务的2.31%；封山育林25099公顷，占28.95%；低效防护林改造59607公顷，占68.74%。按规划期分，前期建设面积47707公顷，占总任务的55.02%；后期建设面积39006公顷，占总任务的44.98%。详见附表8、图5-2。</w:t>
      </w:r>
    </w:p>
    <w:p>
      <w:pPr>
        <w:jc w:val="center"/>
        <w:rPr>
          <w:rFonts w:ascii="Times New Roman" w:hAnsi="Times New Roman" w:cs="Times New Roman"/>
          <w:sz w:val="28"/>
          <w:szCs w:val="28"/>
        </w:rPr>
      </w:pPr>
      <w:r>
        <w:drawing>
          <wp:inline distT="0" distB="0" distL="114300" distR="114300">
            <wp:extent cx="3534410" cy="2061845"/>
            <wp:effectExtent l="4445" t="4445" r="23495" b="1016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ascii="Times New Roman" w:hAnsi="Times New Roman" w:cs="Times New Roman"/>
          <w:sz w:val="24"/>
          <w:szCs w:val="24"/>
        </w:rPr>
      </w:pPr>
      <w:r>
        <w:rPr>
          <w:rFonts w:hint="eastAsia" w:ascii="Times New Roman" w:hAnsi="Times New Roman" w:cs="Times New Roman"/>
          <w:sz w:val="24"/>
          <w:szCs w:val="24"/>
        </w:rPr>
        <w:t>图5</w:t>
      </w:r>
      <w:r>
        <w:rPr>
          <w:rFonts w:ascii="Times New Roman" w:hAnsi="Times New Roman" w:cs="Times New Roman"/>
          <w:sz w:val="24"/>
          <w:szCs w:val="24"/>
        </w:rPr>
        <w:t>-2纵深防护林规划建设面积比例</w:t>
      </w:r>
    </w:p>
    <w:p>
      <w:pPr>
        <w:rPr>
          <w:rFonts w:ascii="Times New Roman" w:hAnsi="Times New Roman" w:cs="Times New Roman"/>
          <w:sz w:val="24"/>
          <w:szCs w:val="24"/>
        </w:rPr>
      </w:pP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（一）人工造林</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1.农田林网</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各地自然条件和农业生产方式，按照高标准农田防护林建设要求，分别采取林带、片林或农林复合种植等营建模式，营造主、副林带结合、疏透结构、间距合理的农田防护林网。要求主副林带构成的网格面积为150～300亩，主林带宽度为8～16米，副林带宽度为4～8米。规划期内，规划营造农田林网总长度5.50公里，折合面积55公顷。其中，前期规划建设林网长度3.03公里，折合面积30公顷；后期规划建设林网长度2.48公里，折合面积25公顷。</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2.道路绿化</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结合绿色通道工程建设，沿道路两侧营造护路林，林带宽度5～10米。对原有县级以上道路尚未绿化的，通过一次性征地或租地造林方式进行绿化；对新建或改建的县级以上道路，将绿化用地纳入工程建设征地范围；乡村道路两侧因地制宜营造1～2行林带。道路绿化树种以乔木型为主，下层可配置一些观赏灌木树种，以达到绿化美化效果。规划期内，规划道路绿化长度481公里，绿化面积481公顷。其中，前期规划道路绿化长度267公里，绿化面积267公顷；后期规划道路绿化长度214公里，绿化面积214公顷。</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3.河渠绿化</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结合河渠整治工程，在沿河道两侧营造护岸林，林带宽度5～10米。造林树种以抗风和抗逆性强的乡土乔木树种为主，在乔木下层栽植灌木和草本，</w:t>
      </w:r>
      <w:r>
        <w:rPr>
          <w:rFonts w:hint="default" w:ascii="Times New Roman" w:hAnsi="Times New Roman" w:eastAsia="宋体" w:cs="Times New Roman"/>
          <w:color w:val="000000" w:themeColor="text1"/>
          <w:sz w:val="28"/>
          <w:szCs w:val="28"/>
        </w:rPr>
        <w:t>形成乔灌草多层次</w:t>
      </w:r>
      <w:r>
        <w:rPr>
          <w:rFonts w:hint="default" w:ascii="Times New Roman" w:hAnsi="Times New Roman" w:eastAsia="宋体" w:cs="Times New Roman"/>
          <w:sz w:val="28"/>
          <w:szCs w:val="28"/>
        </w:rPr>
        <w:t>的立体结构，提高抵御风灾的能力。规划期内，规划河渠绿化长度244公里，绿化面积244公顷。其中，前期规划河渠绿化长度133公里，绿化面积133公顷；后期规划河渠绿化长度111公里，绿化面积111公顷。</w:t>
      </w:r>
    </w:p>
    <w:p>
      <w:pPr>
        <w:pStyle w:val="6"/>
        <w:spacing w:before="0" w:after="0" w:line="240" w:lineRule="auto"/>
        <w:ind w:firstLine="562" w:firstLineChars="200"/>
        <w:rPr>
          <w:rFonts w:hint="default" w:ascii="Times New Roman" w:hAnsi="Times New Roman" w:eastAsia="宋体" w:cs="Times New Roman"/>
        </w:rPr>
      </w:pPr>
      <w:r>
        <w:rPr>
          <w:rFonts w:hint="default" w:ascii="Times New Roman" w:hAnsi="Times New Roman" w:eastAsia="宋体" w:cs="Times New Roman"/>
        </w:rPr>
        <w:t>4.村镇绿化</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对村镇建成区范围内的公园绿地、道路（河道）两侧以及厂区庭院等，按森林城镇、森林村庄的建设要求，开展四旁植树。造林树种以乔木为主，同时根据村镇特点，适当配置部分经济林果，以发挥绿化美化作用。规划期内，规划乡镇植树77.47万株，折合绿化面积477公顷，其中，前期植树42.70万株，折合绿化面积264公顷；后期植树34.77万株，折合绿化</w:t>
      </w:r>
      <w:r>
        <w:rPr>
          <w:rFonts w:hint="default" w:ascii="Times New Roman" w:hAnsi="Times New Roman" w:eastAsia="宋体" w:cs="Times New Roman"/>
          <w:color w:val="000000" w:themeColor="text1"/>
          <w:sz w:val="28"/>
          <w:szCs w:val="28"/>
        </w:rPr>
        <w:t>面积213公顷；规划村庄植树116.34万株，折合绿化面积750公顷，其中，前期植树64.33万株，折合绿化面积419公顷；后期植树52.01万株，折合绿化面积331公顷。</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（二）封山育林</w:t>
      </w:r>
    </w:p>
    <w:p>
      <w:pPr>
        <w:ind w:firstLine="565" w:firstLineChars="20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对郁闭度低于0.3的低质、低效林分；有望培育成乔木林的灌木林地；符合封山育林条件的未成林造林地；有天然下种能力、分布较均匀的母树，或有分布较均匀的幼树，或有分布较均匀的萌蘖能力较强的乔木根株的疏林地，</w:t>
      </w:r>
      <w:r>
        <w:rPr>
          <w:rFonts w:hint="default" w:ascii="Times New Roman" w:hAnsi="Times New Roman" w:eastAsia="宋体" w:cs="Times New Roman"/>
          <w:color w:val="000000" w:themeColor="text1"/>
          <w:sz w:val="28"/>
          <w:szCs w:val="28"/>
        </w:rPr>
        <w:t>按《封山育林技术规程》（DB/T96—2005）技术要求，采取全封、半封、轮封等不同的封育方式进行封山育林，</w:t>
      </w:r>
      <w:r>
        <w:rPr>
          <w:rFonts w:hint="default" w:ascii="Times New Roman" w:hAnsi="Times New Roman" w:eastAsia="宋体" w:cs="Times New Roman"/>
          <w:sz w:val="28"/>
          <w:szCs w:val="28"/>
        </w:rPr>
        <w:t>禁止采伐、砍柴、放牧、割草和其他一切不利于林木生长繁育的人为活动，</w:t>
      </w:r>
      <w:r>
        <w:rPr>
          <w:rFonts w:hint="default" w:ascii="Times New Roman" w:hAnsi="Times New Roman" w:eastAsia="宋体" w:cs="Times New Roman"/>
          <w:color w:val="000000" w:themeColor="text1"/>
          <w:sz w:val="28"/>
          <w:szCs w:val="28"/>
        </w:rPr>
        <w:t>促进成林，提高生态防护效能。</w:t>
      </w:r>
      <w:r>
        <w:rPr>
          <w:rFonts w:hint="default" w:ascii="Times New Roman" w:hAnsi="Times New Roman" w:eastAsia="宋体" w:cs="Times New Roman"/>
          <w:sz w:val="28"/>
          <w:szCs w:val="28"/>
        </w:rPr>
        <w:t>并在进山路口等显著位置设立警示标牌。规划期内，封山（沙）育林面积25099公顷。其中，前期13807公顷，占55.01%；后期11292公顷，占44.99%。</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（三）低效防护林改造</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对植被覆盖度低于50%或郁闭度低于0.4的中龄以上林分；生长结构不良、组成单一、林相残败、防护功能低下、无培育前途的中幼林；林分衰败、生态防护功能显著下降的成过熟林；松材线虫病等检疫性有害生物发生的林分，按</w:t>
      </w:r>
      <w:r>
        <w:rPr>
          <w:rFonts w:hint="default" w:ascii="Times New Roman" w:hAnsi="Times New Roman" w:eastAsia="宋体" w:cs="Times New Roman"/>
          <w:color w:val="000000" w:themeColor="text1"/>
          <w:sz w:val="28"/>
          <w:szCs w:val="28"/>
        </w:rPr>
        <w:t>《低效林改造技术规程》（LY/T1690-2017）技术要求，采取结构调整、树种更替、补植补种、封山育林、林分抚育等营林管理措施进行改造。林分改造过程中注重物种多样性保护，减少或避免对现有植被的破坏，对坡度大于25度的地块采用带状，块状整地清理方式，减少水土流失。</w:t>
      </w:r>
      <w:r>
        <w:rPr>
          <w:rFonts w:hint="default" w:ascii="Times New Roman" w:hAnsi="Times New Roman" w:eastAsia="宋体" w:cs="Times New Roman"/>
          <w:sz w:val="28"/>
          <w:szCs w:val="28"/>
        </w:rPr>
        <w:t>规划期内，规划低效防护林改造面积59607公顷。其中，前期32784公顷，占55%；后期26823公顷，占45%。</w:t>
      </w:r>
    </w:p>
    <w:tbl>
      <w:tblPr>
        <w:tblStyle w:val="19"/>
        <w:tblW w:w="8336" w:type="dxa"/>
        <w:tblInd w:w="0" w:type="dxa"/>
        <w:tblLayout w:type="fixed"/>
        <w:tblCellMar>
          <w:top w:w="0" w:type="dxa"/>
          <w:left w:w="0" w:type="dxa"/>
          <w:bottom w:w="0" w:type="dxa"/>
          <w:right w:w="0" w:type="dxa"/>
        </w:tblCellMar>
      </w:tblPr>
      <w:tblGrid>
        <w:gridCol w:w="1667"/>
        <w:gridCol w:w="3285"/>
        <w:gridCol w:w="1262"/>
        <w:gridCol w:w="1061"/>
        <w:gridCol w:w="1061"/>
      </w:tblGrid>
      <w:tr>
        <w:tblPrEx>
          <w:tblLayout w:type="fixed"/>
          <w:tblCellMar>
            <w:top w:w="0" w:type="dxa"/>
            <w:left w:w="0" w:type="dxa"/>
            <w:bottom w:w="0" w:type="dxa"/>
            <w:right w:w="0" w:type="dxa"/>
          </w:tblCellMar>
        </w:tblPrEx>
        <w:trPr>
          <w:trHeight w:val="821" w:hRule="exact"/>
        </w:trPr>
        <w:tc>
          <w:tcPr>
            <w:tcW w:w="8336" w:type="dxa"/>
            <w:gridSpan w:val="5"/>
            <w:tcBorders>
              <w:top w:val="nil"/>
              <w:left w:val="nil"/>
              <w:bottom w:val="nil"/>
              <w:right w:val="nil"/>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kern w:val="0"/>
                <w:sz w:val="28"/>
                <w:szCs w:val="28"/>
              </w:rPr>
              <w:t>福建省沿海防护林体系建设分工程类型面积统计表</w:t>
            </w:r>
          </w:p>
        </w:tc>
      </w:tr>
      <w:tr>
        <w:tblPrEx>
          <w:tblLayout w:type="fixed"/>
          <w:tblCellMar>
            <w:top w:w="0" w:type="dxa"/>
            <w:left w:w="0" w:type="dxa"/>
            <w:bottom w:w="0" w:type="dxa"/>
            <w:right w:w="0" w:type="dxa"/>
          </w:tblCellMar>
        </w:tblPrEx>
        <w:trPr>
          <w:trHeight w:val="476" w:hRule="exact"/>
        </w:trPr>
        <w:tc>
          <w:tcPr>
            <w:tcW w:w="1667" w:type="dxa"/>
            <w:tcBorders>
              <w:top w:val="nil"/>
              <w:left w:val="nil"/>
              <w:bottom w:val="nil"/>
              <w:right w:val="nil"/>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sz w:val="28"/>
                <w:szCs w:val="28"/>
              </w:rPr>
              <w:t>表5-1</w:t>
            </w:r>
          </w:p>
        </w:tc>
        <w:tc>
          <w:tcPr>
            <w:tcW w:w="3285" w:type="dxa"/>
            <w:tcBorders>
              <w:top w:val="nil"/>
              <w:left w:val="nil"/>
              <w:bottom w:val="nil"/>
              <w:right w:val="nil"/>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8"/>
                <w:szCs w:val="28"/>
              </w:rPr>
            </w:pPr>
          </w:p>
        </w:tc>
        <w:tc>
          <w:tcPr>
            <w:tcW w:w="1262" w:type="dxa"/>
            <w:tcBorders>
              <w:top w:val="nil"/>
              <w:left w:val="nil"/>
              <w:bottom w:val="nil"/>
              <w:right w:val="nil"/>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8"/>
                <w:szCs w:val="28"/>
              </w:rPr>
            </w:pPr>
          </w:p>
        </w:tc>
        <w:tc>
          <w:tcPr>
            <w:tcW w:w="2122" w:type="dxa"/>
            <w:gridSpan w:val="2"/>
            <w:tcBorders>
              <w:top w:val="nil"/>
              <w:left w:val="nil"/>
              <w:bottom w:val="nil"/>
              <w:right w:val="nil"/>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8"/>
                <w:szCs w:val="28"/>
              </w:rPr>
            </w:pPr>
            <w:r>
              <w:rPr>
                <w:rFonts w:hint="default" w:ascii="Times New Roman" w:hAnsi="Times New Roman" w:eastAsia="宋体" w:cs="Times New Roman"/>
                <w:color w:val="000000" w:themeColor="text1"/>
                <w:kern w:val="0"/>
                <w:sz w:val="28"/>
                <w:szCs w:val="28"/>
              </w:rPr>
              <w:t>单位：公顷</w:t>
            </w:r>
          </w:p>
        </w:tc>
      </w:tr>
      <w:tr>
        <w:tblPrEx>
          <w:tblLayout w:type="fixed"/>
          <w:tblCellMar>
            <w:top w:w="0" w:type="dxa"/>
            <w:left w:w="0" w:type="dxa"/>
            <w:bottom w:w="0" w:type="dxa"/>
            <w:right w:w="0" w:type="dxa"/>
          </w:tblCellMar>
        </w:tblPrEx>
        <w:tc>
          <w:tcPr>
            <w:tcW w:w="49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工程类型</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合计</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前期</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后期</w:t>
            </w:r>
          </w:p>
        </w:tc>
      </w:tr>
      <w:tr>
        <w:tblPrEx>
          <w:tblLayout w:type="fixed"/>
          <w:tblCellMar>
            <w:top w:w="0" w:type="dxa"/>
            <w:left w:w="0" w:type="dxa"/>
            <w:bottom w:w="0" w:type="dxa"/>
            <w:right w:w="0" w:type="dxa"/>
          </w:tblCellMar>
        </w:tblPrEx>
        <w:tc>
          <w:tcPr>
            <w:tcW w:w="49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合计</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109010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60347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48663 </w:t>
            </w:r>
          </w:p>
        </w:tc>
      </w:tr>
      <w:tr>
        <w:tblPrEx>
          <w:tblLayout w:type="fixed"/>
          <w:tblCellMar>
            <w:top w:w="0" w:type="dxa"/>
            <w:left w:w="0" w:type="dxa"/>
            <w:bottom w:w="0" w:type="dxa"/>
            <w:right w:w="0" w:type="dxa"/>
          </w:tblCellMar>
        </w:tblPrEx>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kern w:val="0"/>
                <w:sz w:val="24"/>
                <w:szCs w:val="24"/>
              </w:rPr>
            </w:pPr>
            <w:r>
              <w:rPr>
                <w:rFonts w:hint="default" w:ascii="Times New Roman" w:hAnsi="Times New Roman" w:eastAsia="宋体" w:cs="Times New Roman"/>
                <w:color w:val="000000" w:themeColor="text1"/>
                <w:kern w:val="0"/>
                <w:sz w:val="24"/>
                <w:szCs w:val="24"/>
              </w:rPr>
              <w:t>沿海基干</w:t>
            </w:r>
          </w:p>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林带建设</w:t>
            </w: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sz w:val="24"/>
                <w:szCs w:val="24"/>
              </w:rPr>
              <w:t>小计</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22297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12640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9657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人工造林</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3840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2190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1650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灾损基干林带修复</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13627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7787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5840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老化基干林带更新</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4830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2662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2168 </w:t>
            </w:r>
          </w:p>
        </w:tc>
      </w:tr>
      <w:tr>
        <w:tblPrEx>
          <w:tblLayout w:type="fixed"/>
          <w:tblCellMar>
            <w:top w:w="0" w:type="dxa"/>
            <w:left w:w="0" w:type="dxa"/>
            <w:bottom w:w="0" w:type="dxa"/>
            <w:right w:w="0" w:type="dxa"/>
          </w:tblCellMar>
        </w:tblPrEx>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kern w:val="0"/>
                <w:sz w:val="24"/>
                <w:szCs w:val="24"/>
              </w:rPr>
            </w:pPr>
            <w:r>
              <w:rPr>
                <w:rFonts w:hint="default" w:ascii="Times New Roman" w:hAnsi="Times New Roman" w:eastAsia="宋体" w:cs="Times New Roman"/>
                <w:color w:val="000000" w:themeColor="text1"/>
                <w:kern w:val="0"/>
                <w:sz w:val="24"/>
                <w:szCs w:val="24"/>
              </w:rPr>
              <w:t>纵深防护</w:t>
            </w:r>
          </w:p>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林建设</w:t>
            </w: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sz w:val="24"/>
                <w:szCs w:val="24"/>
              </w:rPr>
              <w:t>小计</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86713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47707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39006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人工造林</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2007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1116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891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封山育林</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25099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13807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11292 </w:t>
            </w:r>
          </w:p>
        </w:tc>
      </w:tr>
      <w:tr>
        <w:tblPrEx>
          <w:tblLayout w:type="fixed"/>
          <w:tblCellMar>
            <w:top w:w="0" w:type="dxa"/>
            <w:left w:w="0" w:type="dxa"/>
            <w:bottom w:w="0" w:type="dxa"/>
            <w:right w:w="0" w:type="dxa"/>
          </w:tblCellMar>
        </w:tblPrEx>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rPr>
                <w:rFonts w:hint="default" w:ascii="Times New Roman" w:hAnsi="Times New Roman" w:eastAsia="宋体" w:cs="Times New Roman"/>
                <w:color w:val="000000" w:themeColor="text1"/>
                <w:sz w:val="24"/>
                <w:szCs w:val="24"/>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低效防护林改造</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59607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32784 </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center"/>
              <w:textAlignment w:val="center"/>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kern w:val="0"/>
                <w:sz w:val="24"/>
                <w:szCs w:val="24"/>
              </w:rPr>
              <w:t xml:space="preserve">26823 </w:t>
            </w:r>
          </w:p>
        </w:tc>
      </w:tr>
    </w:tbl>
    <w:p>
      <w:pPr>
        <w:pStyle w:val="4"/>
        <w:spacing w:before="0" w:after="0" w:line="240" w:lineRule="auto"/>
        <w:ind w:firstLine="600" w:firstLineChars="200"/>
        <w:rPr>
          <w:rFonts w:ascii="Times New Roman" w:hAnsi="Times New Roman" w:eastAsia="微软雅黑" w:cs="Times New Roman"/>
          <w:sz w:val="30"/>
          <w:szCs w:val="30"/>
        </w:rPr>
      </w:pPr>
      <w:bookmarkStart w:id="56" w:name="_Toc505330734"/>
      <w:bookmarkStart w:id="57" w:name="_Toc23426"/>
      <w:r>
        <w:rPr>
          <w:rFonts w:ascii="Times New Roman" w:hAnsi="Times New Roman" w:eastAsia="微软雅黑" w:cs="Times New Roman"/>
          <w:sz w:val="30"/>
          <w:szCs w:val="30"/>
        </w:rPr>
        <w:t>三、科技支撑体系建设</w:t>
      </w:r>
      <w:bookmarkEnd w:id="56"/>
      <w:bookmarkEnd w:id="57"/>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科技支撑体系建设内容包括科技攻关、成果转化、试验示范、技术培训和监测体系建设等五个方面。</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（一）科技攻关</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防护林体系建设工程是一项综合性的系统工程，必须有效整合省级科研院所、国有林场等林业科技资源，发挥其在人才、技术、设备等方面的优势，以项目为纽带，创新机制，逐步形成集聚沿海防护林优势科研群体、研发机构和高层次的创新团队。围绕沿海重盐碱地、风口等特殊生态条件的造林良种需要，以木麻黄、相思树等主要树种为对象，重点加强耐盐碱、耐水浸、抗风性强等优良品种选育，着力攻克沙砾质海岸风口地、泥质海岸盐碱地、基岩海岸岩石裸露地等困难立地的造林技术难题。</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（二）成果转化</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工程建设实际需求，从已有科技成果中筛选出技术成熟、先进适用的项目和技术进行推广，通过现有成熟技术的集成组装和发展完善，研究退化防护林改造和更新技术，泥质海岸和基岩海岸防护林结构优化与经营技术模式，大力修复、提升沿海森林生态屏障。同时，组织科技人员深入生产一线，积极开展技术服务。</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（三）试验示范</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地区跨度大，气候差异明显，立地条件复杂，工程建设难度大，必须依靠试验示范带动，才能确保工程建设顺利实施。试验示范应针对造林技术、管护模式中的重点和难点，充分利用现有科研成果和建设经验，建立科技含量高的综合试验示范样板基地，以辐射带动周边地区，确保规划建设任务的顺利完成。试验示范的内容主要包括：困难立地造林、红树林造林、基干林带树种优化配置、老化基干林带更新改造、灾损林带恢复重建等关键技术，以及退塘（耕）造林、有害生物防治等。</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（四）技术培训</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采取多层次、多形式、多渠道的办法，强化沿海防护林体系工程建设适用技术培训。培训内容包括工程建设理念、先进成熟科技成果、工程建设经验、适用生产技术、精细化管理等。培训对象主要为行政主管领导、林业主管部门领导及主要业务技术骨干。</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（五）监测体系</w:t>
      </w:r>
    </w:p>
    <w:p>
      <w:pPr>
        <w:spacing w:line="56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监测体系建设内容包括工程信息管理系统和效益监测评价体系建设。一是建立省、市、县三级工程监测信息管理系统。在工程区范围内，以县为单位建立沿海防护林体系工程建设数据库，定期上传相关基础数据，包括工程建设进度、营造林质量检查验收结果、资金使用情况等；由省、设区市林业主管部门负责审查、汇总，并发布全省沿海防护林建设动态信息。二是构建科学合理的沿海防护林综合效益评价体系。在工程区范围内结合资源清查成果，布设一定数量的固定监测样地，对工程区内森林资源动态变化、防灾减灾、涵养水源、保持水土、固碳释氧、调节气候等指标进行跟踪监测，客观、准确地评价沿海防护林体系建设工程综合效益，并定期向社会发布沿海防护林体系建设成效监测结果。</w:t>
      </w:r>
    </w:p>
    <w:p>
      <w:pPr>
        <w:pStyle w:val="4"/>
        <w:spacing w:before="0" w:after="0" w:line="240" w:lineRule="auto"/>
        <w:ind w:firstLine="600" w:firstLineChars="200"/>
        <w:rPr>
          <w:rFonts w:ascii="Times New Roman" w:hAnsi="Times New Roman" w:eastAsia="微软雅黑" w:cs="Times New Roman"/>
          <w:sz w:val="30"/>
          <w:szCs w:val="30"/>
        </w:rPr>
      </w:pPr>
      <w:bookmarkStart w:id="58" w:name="_Toc9981"/>
      <w:bookmarkStart w:id="59" w:name="_Toc505330735"/>
      <w:r>
        <w:rPr>
          <w:rFonts w:ascii="Times New Roman" w:hAnsi="Times New Roman" w:eastAsia="微软雅黑" w:cs="Times New Roman"/>
          <w:sz w:val="30"/>
          <w:szCs w:val="30"/>
        </w:rPr>
        <w:t>四、基础设施建设</w:t>
      </w:r>
      <w:bookmarkEnd w:id="58"/>
      <w:bookmarkEnd w:id="59"/>
    </w:p>
    <w:p>
      <w:pPr>
        <w:spacing w:line="560" w:lineRule="exact"/>
        <w:ind w:firstLine="560" w:firstLineChars="200"/>
        <w:rPr>
          <w:rFonts w:hint="default" w:ascii="Times New Roman" w:hAnsi="Times New Roman" w:eastAsia="宋体" w:cs="Times New Roman"/>
          <w:sz w:val="28"/>
          <w:szCs w:val="28"/>
        </w:rPr>
        <w:sectPr>
          <w:pgSz w:w="11906" w:h="16838"/>
          <w:pgMar w:top="1440" w:right="1800" w:bottom="1440" w:left="1800" w:header="851" w:footer="992" w:gutter="0"/>
          <w:cols w:space="425" w:num="1"/>
          <w:docGrid w:type="lines" w:linePitch="312" w:charSpace="0"/>
        </w:sectPr>
      </w:pPr>
      <w:r>
        <w:rPr>
          <w:rFonts w:hint="default" w:ascii="Times New Roman" w:hAnsi="Times New Roman" w:eastAsia="宋体" w:cs="Times New Roman"/>
          <w:sz w:val="28"/>
          <w:szCs w:val="28"/>
        </w:rPr>
        <w:t>沿海地区台风、风暴潮等自然灾害频发，沿岸海堤容易遭受损毁。此外，区域人为活动频繁，森林火灾威胁严重，沿海防护林保护面临巨大压力。各地应结合水利、交通、森林防火等专项规划，统筹安排，因地制宜开展基础设施建设。基础设施建设包括护岸护坡设施、森林防火设施、宣教牌、护林站（点）建设等。</w:t>
      </w:r>
    </w:p>
    <w:p>
      <w:pPr>
        <w:pStyle w:val="2"/>
        <w:spacing w:beforeLines="100" w:afterLines="100" w:line="240" w:lineRule="auto"/>
        <w:jc w:val="center"/>
        <w:rPr>
          <w:rFonts w:ascii="Times New Roman" w:hAnsi="Times New Roman" w:eastAsia="微软雅黑" w:cs="Times New Roman"/>
          <w:sz w:val="32"/>
          <w:szCs w:val="32"/>
        </w:rPr>
      </w:pPr>
      <w:bookmarkStart w:id="60" w:name="_Toc505330736"/>
      <w:bookmarkStart w:id="61" w:name="_Toc651"/>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六</w:t>
      </w:r>
      <w:r>
        <w:rPr>
          <w:rFonts w:ascii="Times New Roman" w:hAnsi="Times New Roman" w:eastAsia="微软雅黑" w:cs="Times New Roman"/>
          <w:sz w:val="32"/>
          <w:szCs w:val="32"/>
        </w:rPr>
        <w:t>章 工程建设重点</w:t>
      </w:r>
      <w:bookmarkEnd w:id="60"/>
      <w:bookmarkEnd w:id="61"/>
    </w:p>
    <w:p>
      <w:pPr>
        <w:pStyle w:val="4"/>
        <w:spacing w:before="0" w:after="0" w:line="240" w:lineRule="auto"/>
        <w:ind w:firstLine="600" w:firstLineChars="200"/>
        <w:rPr>
          <w:rFonts w:ascii="Times New Roman" w:hAnsi="Times New Roman" w:eastAsia="微软雅黑" w:cs="Times New Roman"/>
          <w:sz w:val="30"/>
          <w:szCs w:val="30"/>
        </w:rPr>
      </w:pPr>
      <w:bookmarkStart w:id="62" w:name="_Toc505330737"/>
      <w:bookmarkStart w:id="63" w:name="_Toc3088"/>
      <w:bookmarkStart w:id="64" w:name="_Toc505330740"/>
      <w:r>
        <w:rPr>
          <w:rFonts w:ascii="Times New Roman" w:hAnsi="Times New Roman" w:eastAsia="微软雅黑" w:cs="Times New Roman"/>
          <w:sz w:val="30"/>
          <w:szCs w:val="30"/>
        </w:rPr>
        <w:t>一、重点建设内容</w:t>
      </w:r>
      <w:bookmarkEnd w:id="62"/>
      <w:bookmarkEnd w:id="63"/>
    </w:p>
    <w:p>
      <w:pPr>
        <w:pStyle w:val="5"/>
        <w:spacing w:before="0" w:after="0" w:line="240" w:lineRule="auto"/>
        <w:ind w:firstLine="562" w:firstLineChars="200"/>
        <w:rPr>
          <w:rFonts w:hint="default" w:ascii="Times New Roman" w:hAnsi="Times New Roman" w:eastAsia="宋体" w:cs="Times New Roman"/>
          <w:sz w:val="28"/>
          <w:szCs w:val="28"/>
        </w:rPr>
      </w:pPr>
      <w:bookmarkStart w:id="65" w:name="_Toc505330738"/>
      <w:r>
        <w:rPr>
          <w:rFonts w:hint="default" w:ascii="Times New Roman" w:hAnsi="Times New Roman" w:eastAsia="宋体" w:cs="Times New Roman"/>
          <w:sz w:val="28"/>
          <w:szCs w:val="28"/>
        </w:rPr>
        <w:t>（一）基干林带造林</w:t>
      </w:r>
    </w:p>
    <w:p>
      <w:pPr>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对适宜红树林生长的滩涂，规划营造红树林为主的消浪林带；针对项目区特点，结合沟、渠、河堤、道路、农田林网等建设，因地制宜地开展人工造林；对宽度达不到标准的林带，实施拓宽造林。进一步扩大基干林带面积，优化基干林带结构，提升基干林带整体功能。</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（二）灾损基干林带修复</w:t>
      </w:r>
    </w:p>
    <w:p>
      <w:pPr>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对工程区因台风、风暴潮等自然灾害受损的基干林带进行清理、补植和补造，通过修复灾损基干林带，提高其抵御台风、风暴潮的能力。</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（三）老化基干林带更新</w:t>
      </w:r>
    </w:p>
    <w:p>
      <w:pPr>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对于年龄老化、生长势下降、郁闭度低的稀疏、老化基干林带，逐步实施更新改造，提升林带质量，增强防护功能。</w:t>
      </w:r>
    </w:p>
    <w:p>
      <w:pPr>
        <w:pStyle w:val="4"/>
        <w:spacing w:before="0" w:after="0" w:line="240" w:lineRule="auto"/>
        <w:ind w:firstLine="600" w:firstLineChars="200"/>
        <w:rPr>
          <w:rFonts w:ascii="Times New Roman" w:hAnsi="Times New Roman" w:eastAsia="微软雅黑" w:cs="Times New Roman"/>
          <w:sz w:val="30"/>
          <w:szCs w:val="30"/>
        </w:rPr>
      </w:pPr>
      <w:bookmarkStart w:id="66" w:name="_Toc22625"/>
      <w:r>
        <w:rPr>
          <w:rFonts w:ascii="Times New Roman" w:hAnsi="Times New Roman" w:eastAsia="微软雅黑" w:cs="Times New Roman"/>
          <w:sz w:val="30"/>
          <w:szCs w:val="30"/>
        </w:rPr>
        <w:t>二、重点建设区域</w:t>
      </w:r>
      <w:bookmarkEnd w:id="65"/>
      <w:bookmarkEnd w:id="66"/>
    </w:p>
    <w:p>
      <w:pPr>
        <w:ind w:firstLine="560" w:firstLineChars="200"/>
        <w:rPr>
          <w:rFonts w:hint="default" w:ascii="Times New Roman" w:hAnsi="Times New Roman" w:eastAsia="宋体" w:cs="Times New Roman"/>
          <w:kern w:val="0"/>
          <w:sz w:val="28"/>
          <w:szCs w:val="28"/>
        </w:rPr>
      </w:pPr>
      <w:bookmarkStart w:id="67" w:name="_Toc505330739"/>
      <w:r>
        <w:rPr>
          <w:rFonts w:hint="default" w:ascii="Times New Roman" w:hAnsi="Times New Roman" w:eastAsia="宋体" w:cs="Times New Roman"/>
          <w:kern w:val="0"/>
          <w:sz w:val="28"/>
          <w:szCs w:val="28"/>
        </w:rPr>
        <w:t>根据新时期福建林业发展的要求，充分考虑沿海地区主要自然灾害及危害特点，选择台风频繁登陆点或主要路径的重点受灾区，以及受台风危害可能造成较大经济损失的工农业发达、人口密集地区作为本期工程重点建设区域，优先安排建设任务，规划一批重点建设项目，实现重点突破。全省共选择28个县（市、区）作为重点建设区域，占工程区县（市、区）个数的55.1%，详见表6-1。</w:t>
      </w:r>
    </w:p>
    <w:p>
      <w:pPr>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福建省沿海防护林体系建设工程重点建设区域分布表</w:t>
      </w:r>
    </w:p>
    <w:p>
      <w:pP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表6-1</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561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设区市</w:t>
            </w:r>
          </w:p>
        </w:tc>
        <w:tc>
          <w:tcPr>
            <w:tcW w:w="561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县（市、区）</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合计</w:t>
            </w:r>
          </w:p>
        </w:tc>
        <w:tc>
          <w:tcPr>
            <w:tcW w:w="5618" w:type="dxa"/>
            <w:vAlign w:val="center"/>
          </w:tcPr>
          <w:p>
            <w:pPr>
              <w:jc w:val="center"/>
              <w:rPr>
                <w:rFonts w:hint="default" w:ascii="Times New Roman" w:hAnsi="Times New Roman" w:eastAsia="宋体" w:cs="Times New Roman"/>
                <w:kern w:val="0"/>
                <w:sz w:val="24"/>
                <w:szCs w:val="24"/>
              </w:rPr>
            </w:pP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宁德市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福鼎、福安、霞浦、蕉城</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福州市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罗源、连江、马尾、长乐、福清</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莆田市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秀屿（含北岸、湄洲管委会）、涵江、荔城</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泉州市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惠安（含台商管委会）、泉港、晋江、石狮、</w:t>
            </w:r>
          </w:p>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南安、洛江</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厦门市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同安、集美、海沧、翔安</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漳州市</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龙海、漳浦、云霄、东山、诏安</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4"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平潭综合实验区</w:t>
            </w:r>
          </w:p>
        </w:tc>
        <w:tc>
          <w:tcPr>
            <w:tcW w:w="56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平潭</w:t>
            </w:r>
          </w:p>
        </w:tc>
        <w:tc>
          <w:tcPr>
            <w:tcW w:w="780"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r>
    </w:tbl>
    <w:p>
      <w:pPr>
        <w:pStyle w:val="4"/>
        <w:spacing w:before="0" w:after="0" w:line="240" w:lineRule="auto"/>
        <w:ind w:firstLine="600" w:firstLineChars="200"/>
        <w:rPr>
          <w:rFonts w:ascii="Times New Roman" w:hAnsi="Times New Roman" w:eastAsia="微软雅黑" w:cs="Times New Roman"/>
          <w:sz w:val="30"/>
          <w:szCs w:val="30"/>
        </w:rPr>
      </w:pPr>
      <w:bookmarkStart w:id="68" w:name="_Toc16515"/>
      <w:r>
        <w:rPr>
          <w:rFonts w:ascii="Times New Roman" w:hAnsi="Times New Roman" w:eastAsia="微软雅黑" w:cs="Times New Roman"/>
          <w:sz w:val="30"/>
          <w:szCs w:val="30"/>
        </w:rPr>
        <w:t>三、重点建设项目</w:t>
      </w:r>
      <w:bookmarkEnd w:id="67"/>
      <w:bookmarkEnd w:id="68"/>
    </w:p>
    <w:p>
      <w:pPr>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本期规划重点建设项目有：红树林恢复造林、灾损基干林带修复、老化基干林带更新、困难立地基干林带造林、基干林带区位退塘(耕)造林等5个项目。</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（一）红树林恢复造林项目</w:t>
      </w:r>
    </w:p>
    <w:p>
      <w:pPr>
        <w:ind w:firstLine="57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福建省沿海地区台风、风暴潮等自然灾害频发，对人民生命财产安全造成严重影响。红树林具有较强的消浪护堤作用，但受多种因素影响，红树林建设速度缓慢，特别是由于围垦造地、滩涂养殖等经营活动往往能获得较高的经济收入，短期利益明显高于种植红树林，造成红树林发展困难重重。为此，有必要将红树林恢复造林项目作为重点建设项目。</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建设内容：</w:t>
      </w:r>
      <w:r>
        <w:rPr>
          <w:rFonts w:hint="default" w:ascii="Times New Roman" w:hAnsi="Times New Roman" w:eastAsia="宋体" w:cs="Times New Roman"/>
          <w:kern w:val="0"/>
          <w:sz w:val="28"/>
          <w:szCs w:val="28"/>
        </w:rPr>
        <w:t>包括红树林引种驯化、宜林滩涂整地造林、被破坏的红树林恢复，以及红树林保护与管理模式示范建设等。对原生红树林被破坏和宜造红树林滩涂，采用胎生苗插植，以恢复与重构红树林群落，并加强红树林造林后的补植和管护，提高造林成活率和保存率，促进其尽早郁闭成林，恢复生态系统，提高防灾减灾功能。</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实施范围：</w:t>
      </w:r>
      <w:r>
        <w:rPr>
          <w:rFonts w:hint="default" w:ascii="Times New Roman" w:hAnsi="Times New Roman" w:eastAsia="宋体" w:cs="Times New Roman"/>
          <w:kern w:val="0"/>
          <w:sz w:val="28"/>
          <w:szCs w:val="28"/>
        </w:rPr>
        <w:t>涉及沿海地区4个设区市，具体为福鼎、霞浦、蕉城、连江、长乐、福清、惠安（含台商管委会）、泉港、南安、洛江、龙海、漳浦、云霄等13个县（市、区）。</w:t>
      </w:r>
    </w:p>
    <w:p>
      <w:pPr>
        <w:ind w:firstLine="57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建设规模：</w:t>
      </w:r>
      <w:r>
        <w:rPr>
          <w:rFonts w:hint="default" w:ascii="Times New Roman" w:hAnsi="Times New Roman" w:eastAsia="宋体" w:cs="Times New Roman"/>
          <w:bCs/>
          <w:kern w:val="0"/>
          <w:sz w:val="28"/>
          <w:szCs w:val="28"/>
        </w:rPr>
        <w:t>规划期内红</w:t>
      </w:r>
      <w:r>
        <w:rPr>
          <w:rFonts w:hint="default" w:ascii="Times New Roman" w:hAnsi="Times New Roman" w:eastAsia="宋体" w:cs="Times New Roman"/>
          <w:kern w:val="0"/>
          <w:sz w:val="28"/>
          <w:szCs w:val="28"/>
        </w:rPr>
        <w:t>树林造林面积730公顷。详见附表6。</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（二）灾损基干林带修复项目</w:t>
      </w:r>
    </w:p>
    <w:p>
      <w:pPr>
        <w:autoSpaceDE w:val="0"/>
        <w:autoSpaceDN w:val="0"/>
        <w:adjustRightInd w:val="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 xml:space="preserve">    受自然灾害和人为破坏的影响，沿海基干林带损毁严重，疏林残林较多，很多地方不同程度地出现了断稍、折干、缺口断带，致使防护功能下降。基干林带是沿海地区绿色生态屏障，发挥着重要的防灾减灾作用。为提升基干林带的防护功能，对遭受损毁的基干林带进行清理修复，并将其作为重点建设项目。</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建设内容：</w:t>
      </w:r>
      <w:r>
        <w:rPr>
          <w:rFonts w:hint="default" w:ascii="Times New Roman" w:hAnsi="Times New Roman" w:eastAsia="宋体" w:cs="Times New Roman"/>
          <w:kern w:val="0"/>
          <w:sz w:val="28"/>
          <w:szCs w:val="28"/>
        </w:rPr>
        <w:t>包括灾损基干林带受损林木清理、断带地段恢复造林、稀疏林分补植造林，以及抗风树种选育、灾损基干林带恢复重建示范区建设等。对林木受损严重，防护功能大为降低的疏林、残破的基干林带，清理灾损林木，选择抗风和抗逆性强的适生乡土树种实施补植造林，对因灾损出现缺口断带的地段进行填空补缺或重新造林，确保受灾基干林带得到及时恢复，发挥出应有的防护功能。</w:t>
      </w:r>
    </w:p>
    <w:p>
      <w:pPr>
        <w:autoSpaceDE w:val="0"/>
        <w:autoSpaceDN w:val="0"/>
        <w:adjustRightInd w:val="0"/>
        <w:ind w:firstLine="562" w:firstLineChars="200"/>
        <w:rPr>
          <w:rFonts w:hint="default" w:ascii="Times New Roman" w:hAnsi="Times New Roman" w:eastAsia="宋体" w:cs="Times New Roman"/>
          <w:b/>
          <w:bCs/>
          <w:sz w:val="20"/>
          <w:szCs w:val="20"/>
        </w:rPr>
      </w:pPr>
      <w:r>
        <w:rPr>
          <w:rFonts w:hint="default" w:ascii="Times New Roman" w:hAnsi="Times New Roman" w:eastAsia="宋体" w:cs="Times New Roman"/>
          <w:b/>
          <w:kern w:val="0"/>
          <w:sz w:val="28"/>
          <w:szCs w:val="28"/>
        </w:rPr>
        <w:t>实施范围：</w:t>
      </w:r>
      <w:r>
        <w:rPr>
          <w:rFonts w:hint="default" w:ascii="Times New Roman" w:hAnsi="Times New Roman" w:eastAsia="宋体" w:cs="Times New Roman"/>
          <w:kern w:val="0"/>
          <w:sz w:val="28"/>
          <w:szCs w:val="28"/>
        </w:rPr>
        <w:t>涉及沿海基干林带因灾受损严重的区域。主要包括沿海6个设区市和平潭综合实验区的26个县（市、区）。详见表6-2。</w:t>
      </w:r>
    </w:p>
    <w:p>
      <w:pPr>
        <w:autoSpaceDE w:val="0"/>
        <w:autoSpaceDN w:val="0"/>
        <w:adjustRightInd w:val="0"/>
        <w:jc w:val="center"/>
        <w:rPr>
          <w:rFonts w:hint="default" w:ascii="Times New Roman" w:hAnsi="Times New Roman" w:eastAsia="宋体" w:cs="Times New Roman"/>
          <w:kern w:val="0"/>
          <w:sz w:val="28"/>
          <w:szCs w:val="28"/>
        </w:rPr>
      </w:pPr>
    </w:p>
    <w:p>
      <w:pPr>
        <w:autoSpaceDE w:val="0"/>
        <w:autoSpaceDN w:val="0"/>
        <w:adjustRightInd w:val="0"/>
        <w:jc w:val="center"/>
        <w:rPr>
          <w:rFonts w:hint="default" w:ascii="Times New Roman" w:hAnsi="Times New Roman" w:eastAsia="宋体" w:cs="Times New Roman"/>
          <w:kern w:val="0"/>
          <w:sz w:val="28"/>
          <w:szCs w:val="28"/>
        </w:rPr>
      </w:pPr>
    </w:p>
    <w:p>
      <w:pPr>
        <w:autoSpaceDE w:val="0"/>
        <w:autoSpaceDN w:val="0"/>
        <w:adjustRightInd w:val="0"/>
        <w:jc w:val="center"/>
        <w:rPr>
          <w:rFonts w:hint="default" w:ascii="Times New Roman" w:hAnsi="Times New Roman" w:eastAsia="宋体" w:cs="Times New Roman"/>
          <w:kern w:val="0"/>
          <w:sz w:val="28"/>
          <w:szCs w:val="28"/>
        </w:rPr>
      </w:pPr>
    </w:p>
    <w:p>
      <w:pPr>
        <w:autoSpaceDE w:val="0"/>
        <w:autoSpaceDN w:val="0"/>
        <w:adjustRightInd w:val="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灾损基干林带修复项目实施表</w:t>
      </w:r>
    </w:p>
    <w:p>
      <w:pPr>
        <w:autoSpaceDE w:val="0"/>
        <w:autoSpaceDN w:val="0"/>
        <w:adjustRightInd w:val="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 xml:space="preserve">表6-2 </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6"/>
        <w:gridCol w:w="5018"/>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设区市</w:t>
            </w:r>
          </w:p>
        </w:tc>
        <w:tc>
          <w:tcPr>
            <w:tcW w:w="501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县（市、区）名称</w:t>
            </w:r>
          </w:p>
        </w:tc>
        <w:tc>
          <w:tcPr>
            <w:tcW w:w="115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合计</w:t>
            </w:r>
          </w:p>
        </w:tc>
        <w:tc>
          <w:tcPr>
            <w:tcW w:w="5018" w:type="dxa"/>
            <w:vAlign w:val="center"/>
          </w:tcPr>
          <w:p>
            <w:pPr>
              <w:jc w:val="center"/>
              <w:rPr>
                <w:rFonts w:hint="default" w:ascii="Times New Roman" w:hAnsi="Times New Roman" w:eastAsia="宋体" w:cs="Times New Roman"/>
                <w:kern w:val="0"/>
                <w:sz w:val="24"/>
                <w:szCs w:val="24"/>
              </w:rPr>
            </w:pPr>
          </w:p>
        </w:tc>
        <w:tc>
          <w:tcPr>
            <w:tcW w:w="115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宁德市</w:t>
            </w:r>
          </w:p>
        </w:tc>
        <w:tc>
          <w:tcPr>
            <w:tcW w:w="50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福鼎、福安、霞浦、蕉城</w:t>
            </w:r>
          </w:p>
        </w:tc>
        <w:tc>
          <w:tcPr>
            <w:tcW w:w="115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福州市</w:t>
            </w:r>
          </w:p>
        </w:tc>
        <w:tc>
          <w:tcPr>
            <w:tcW w:w="5018" w:type="dxa"/>
            <w:vAlign w:val="center"/>
          </w:tcPr>
          <w:p>
            <w:pPr>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罗源、连江、长乐、福清</w:t>
            </w:r>
          </w:p>
        </w:tc>
        <w:tc>
          <w:tcPr>
            <w:tcW w:w="1158"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莆田市</w:t>
            </w:r>
          </w:p>
        </w:tc>
        <w:tc>
          <w:tcPr>
            <w:tcW w:w="5018" w:type="dxa"/>
            <w:vAlign w:val="center"/>
          </w:tcPr>
          <w:p>
            <w:pPr>
              <w:autoSpaceDE w:val="0"/>
              <w:autoSpaceDN w:val="0"/>
              <w:adjustRightInd w:val="0"/>
              <w:jc w:val="left"/>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秀屿(含北岸管委会、湄洲管委会)、涵江、荔城</w:t>
            </w:r>
          </w:p>
        </w:tc>
        <w:tc>
          <w:tcPr>
            <w:tcW w:w="1158"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泉州市</w:t>
            </w:r>
          </w:p>
        </w:tc>
        <w:tc>
          <w:tcPr>
            <w:tcW w:w="5018" w:type="dxa"/>
            <w:vAlign w:val="center"/>
          </w:tcPr>
          <w:p>
            <w:pPr>
              <w:autoSpaceDE w:val="0"/>
              <w:autoSpaceDN w:val="0"/>
              <w:adjustRightInd w:val="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泉港、晋江、石狮、南安、洛江、惠安(含台商管委会)</w:t>
            </w:r>
          </w:p>
        </w:tc>
        <w:tc>
          <w:tcPr>
            <w:tcW w:w="1158"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346"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漳州市</w:t>
            </w:r>
          </w:p>
        </w:tc>
        <w:tc>
          <w:tcPr>
            <w:tcW w:w="5018" w:type="dxa"/>
            <w:vAlign w:val="center"/>
          </w:tcPr>
          <w:p>
            <w:pPr>
              <w:autoSpaceDE w:val="0"/>
              <w:autoSpaceDN w:val="0"/>
              <w:adjustRightInd w:val="0"/>
              <w:jc w:val="left"/>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龙海、漳浦、云霄、东山、诏安</w:t>
            </w:r>
          </w:p>
        </w:tc>
        <w:tc>
          <w:tcPr>
            <w:tcW w:w="1158"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厦门市</w:t>
            </w:r>
          </w:p>
        </w:tc>
        <w:tc>
          <w:tcPr>
            <w:tcW w:w="5018" w:type="dxa"/>
            <w:vAlign w:val="center"/>
          </w:tcPr>
          <w:p>
            <w:pPr>
              <w:autoSpaceDE w:val="0"/>
              <w:autoSpaceDN w:val="0"/>
              <w:adjustRightInd w:val="0"/>
              <w:jc w:val="left"/>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翔安、海沧、集美</w:t>
            </w:r>
          </w:p>
        </w:tc>
        <w:tc>
          <w:tcPr>
            <w:tcW w:w="1158"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6"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平潭综合实验区</w:t>
            </w:r>
          </w:p>
        </w:tc>
        <w:tc>
          <w:tcPr>
            <w:tcW w:w="5018" w:type="dxa"/>
            <w:vAlign w:val="center"/>
          </w:tcPr>
          <w:p>
            <w:pPr>
              <w:autoSpaceDE w:val="0"/>
              <w:autoSpaceDN w:val="0"/>
              <w:adjustRightInd w:val="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平潭</w:t>
            </w:r>
          </w:p>
        </w:tc>
        <w:tc>
          <w:tcPr>
            <w:tcW w:w="1158"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r>
    </w:tbl>
    <w:p>
      <w:pPr>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建设规模：</w:t>
      </w:r>
      <w:r>
        <w:rPr>
          <w:rFonts w:hint="default" w:ascii="Times New Roman" w:hAnsi="Times New Roman" w:eastAsia="宋体" w:cs="Times New Roman"/>
          <w:bCs/>
          <w:kern w:val="0"/>
          <w:sz w:val="28"/>
          <w:szCs w:val="28"/>
        </w:rPr>
        <w:t>规划期内，灾损基干林</w:t>
      </w:r>
      <w:r>
        <w:rPr>
          <w:rFonts w:hint="default" w:ascii="Times New Roman" w:hAnsi="Times New Roman" w:eastAsia="宋体" w:cs="Times New Roman"/>
          <w:kern w:val="0"/>
          <w:sz w:val="28"/>
          <w:szCs w:val="28"/>
        </w:rPr>
        <w:t>带修复面积13627公顷。详见附表7。</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（三）老化基干林带更新改造项目</w:t>
      </w:r>
    </w:p>
    <w:p>
      <w:pPr>
        <w:autoSpaceDE w:val="0"/>
        <w:autoSpaceDN w:val="0"/>
        <w:adjustRightInd w:val="0"/>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全省沿海防护林基干林带有相当一部分营造时间早，其中以木麻黄为主的基干林带大多已达成、过熟龄，老化、退化、枯死情况严重，防护功能下降。为提升沿海基干林带生态防护功能，规划将老化基干林带更新改造作为重点建设项目。</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建设内容：</w:t>
      </w:r>
      <w:r>
        <w:rPr>
          <w:rFonts w:hint="default" w:ascii="Times New Roman" w:hAnsi="Times New Roman" w:eastAsia="宋体" w:cs="Times New Roman"/>
          <w:kern w:val="0"/>
          <w:sz w:val="28"/>
          <w:szCs w:val="28"/>
        </w:rPr>
        <w:t>包括抗病抗风优良树种选育、老化基干林带更新改造、以及不同区域更新改造示范区建设。对基干林带年龄老化，或死亡木（含濒死木）比重占单位面积株数20%以上的，或因老化稀疏保留林木的林分郁闭度低于0.4的，在不破坏沿海基干林带原有生态功能的前提下，采用块（带）状皆伐更新模式、林冠下造林模式、择伐补造、抚育改造等措施，逐步实施更新改造，重建多树种混交、林分结构稳定的防护林带，全面提升沿海基干林带的林分质量和生态功能，有效发挥基干林带绿色屏障的防护作用。</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实施范围：</w:t>
      </w:r>
      <w:r>
        <w:rPr>
          <w:rFonts w:hint="default" w:ascii="Times New Roman" w:hAnsi="Times New Roman" w:eastAsia="宋体" w:cs="Times New Roman"/>
          <w:kern w:val="0"/>
          <w:sz w:val="28"/>
          <w:szCs w:val="28"/>
        </w:rPr>
        <w:t>涉及沿海基干林带出现老化的区域。主要包括沿海6个设区市和平潭综合实验区的20个县（市、区）。详见表6-3。</w:t>
      </w:r>
    </w:p>
    <w:p>
      <w:pPr>
        <w:autoSpaceDE w:val="0"/>
        <w:autoSpaceDN w:val="0"/>
        <w:adjustRightInd w:val="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老化基干林带更新项目实施范围表</w:t>
      </w:r>
    </w:p>
    <w:p>
      <w:pPr>
        <w:autoSpaceDE w:val="0"/>
        <w:autoSpaceDN w:val="0"/>
        <w:adjustRightInd w:val="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 xml:space="preserve">表6-3 </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5415"/>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设区市）</w:t>
            </w:r>
          </w:p>
        </w:tc>
        <w:tc>
          <w:tcPr>
            <w:tcW w:w="5415"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县（市、区）</w:t>
            </w:r>
          </w:p>
        </w:tc>
        <w:tc>
          <w:tcPr>
            <w:tcW w:w="1027"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合计</w:t>
            </w:r>
          </w:p>
        </w:tc>
        <w:tc>
          <w:tcPr>
            <w:tcW w:w="5415" w:type="dxa"/>
            <w:vAlign w:val="center"/>
          </w:tcPr>
          <w:p>
            <w:pPr>
              <w:rPr>
                <w:rFonts w:hint="default" w:ascii="Times New Roman" w:hAnsi="Times New Roman" w:eastAsia="宋体" w:cs="Times New Roman"/>
                <w:kern w:val="0"/>
                <w:sz w:val="24"/>
                <w:szCs w:val="24"/>
              </w:rPr>
            </w:pPr>
          </w:p>
        </w:tc>
        <w:tc>
          <w:tcPr>
            <w:tcW w:w="1027"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宁德市</w:t>
            </w:r>
          </w:p>
        </w:tc>
        <w:tc>
          <w:tcPr>
            <w:tcW w:w="5415"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福鼎市、福安市、霞浦县、蕉城区</w:t>
            </w:r>
          </w:p>
        </w:tc>
        <w:tc>
          <w:tcPr>
            <w:tcW w:w="1027"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福州市</w:t>
            </w:r>
          </w:p>
        </w:tc>
        <w:tc>
          <w:tcPr>
            <w:tcW w:w="5415" w:type="dxa"/>
            <w:vAlign w:val="center"/>
          </w:tcPr>
          <w:p>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福清市</w:t>
            </w:r>
          </w:p>
        </w:tc>
        <w:tc>
          <w:tcPr>
            <w:tcW w:w="1027" w:type="dxa"/>
            <w:vAlign w:val="center"/>
          </w:tcPr>
          <w:p>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莆田市</w:t>
            </w:r>
          </w:p>
        </w:tc>
        <w:tc>
          <w:tcPr>
            <w:tcW w:w="5415"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涵江区、秀屿区(含北岸管委会、湄洲管委会)</w:t>
            </w:r>
          </w:p>
        </w:tc>
        <w:tc>
          <w:tcPr>
            <w:tcW w:w="1027"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泉州市</w:t>
            </w:r>
          </w:p>
        </w:tc>
        <w:tc>
          <w:tcPr>
            <w:tcW w:w="5415" w:type="dxa"/>
            <w:vAlign w:val="center"/>
          </w:tcPr>
          <w:p>
            <w:pPr>
              <w:autoSpaceDE w:val="0"/>
              <w:autoSpaceDN w:val="0"/>
              <w:adjustRightInd w:val="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惠安县(含台商管委会)、泉港区、晋江市、</w:t>
            </w:r>
          </w:p>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石狮市、南安市、洛江区</w:t>
            </w:r>
          </w:p>
        </w:tc>
        <w:tc>
          <w:tcPr>
            <w:tcW w:w="1027"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漳州市</w:t>
            </w:r>
          </w:p>
        </w:tc>
        <w:tc>
          <w:tcPr>
            <w:tcW w:w="5415"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龙海市、漳浦县、云霄县、东山县、诏安县</w:t>
            </w:r>
          </w:p>
        </w:tc>
        <w:tc>
          <w:tcPr>
            <w:tcW w:w="1027"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厦门市</w:t>
            </w:r>
          </w:p>
        </w:tc>
        <w:tc>
          <w:tcPr>
            <w:tcW w:w="5415"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翔安区、海沧区</w:t>
            </w:r>
          </w:p>
        </w:tc>
        <w:tc>
          <w:tcPr>
            <w:tcW w:w="1027"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0" w:type="dxa"/>
            <w:vAlign w:val="center"/>
          </w:tcPr>
          <w:p>
            <w:pPr>
              <w:autoSpaceDE w:val="0"/>
              <w:autoSpaceDN w:val="0"/>
              <w:adjustRightInd w:val="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平潭综合实验区</w:t>
            </w:r>
          </w:p>
        </w:tc>
        <w:tc>
          <w:tcPr>
            <w:tcW w:w="5415" w:type="dxa"/>
            <w:vAlign w:val="center"/>
          </w:tcPr>
          <w:p>
            <w:pPr>
              <w:autoSpaceDE w:val="0"/>
              <w:autoSpaceDN w:val="0"/>
              <w:adjustRightInd w:val="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平潭</w:t>
            </w:r>
          </w:p>
        </w:tc>
        <w:tc>
          <w:tcPr>
            <w:tcW w:w="1027" w:type="dxa"/>
            <w:vAlign w:val="center"/>
          </w:tcPr>
          <w:p>
            <w:pPr>
              <w:autoSpaceDE w:val="0"/>
              <w:autoSpaceDN w:val="0"/>
              <w:adjustRightInd w:val="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r>
    </w:tbl>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建设规模：</w:t>
      </w:r>
      <w:r>
        <w:rPr>
          <w:rFonts w:hint="default" w:ascii="Times New Roman" w:hAnsi="Times New Roman" w:eastAsia="宋体" w:cs="Times New Roman"/>
          <w:bCs/>
          <w:kern w:val="0"/>
          <w:sz w:val="28"/>
          <w:szCs w:val="28"/>
        </w:rPr>
        <w:t>规划期内，老</w:t>
      </w:r>
      <w:r>
        <w:rPr>
          <w:rFonts w:hint="default" w:ascii="Times New Roman" w:hAnsi="Times New Roman" w:eastAsia="宋体" w:cs="Times New Roman"/>
          <w:kern w:val="0"/>
          <w:sz w:val="28"/>
          <w:szCs w:val="28"/>
        </w:rPr>
        <w:t>化基干林带更新改造面积4830公顷。详见附表7。</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（四）困难立地基干林带造林项目</w:t>
      </w:r>
    </w:p>
    <w:p>
      <w:pPr>
        <w:autoSpaceDE w:val="0"/>
        <w:autoSpaceDN w:val="0"/>
        <w:adjustRightInd w:val="0"/>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由于特殊地理位置和环境条件的影响，沿海基干林带范围内尚存在不少的岩石裸露地、风口沙滩地等困难造林地。为加强沿海基干林带建设，提高防灾减灾能力，规划将困难立地基干林带造林项目作为重点建设项目。</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建设内容：</w:t>
      </w:r>
      <w:r>
        <w:rPr>
          <w:rFonts w:hint="default" w:ascii="Times New Roman" w:hAnsi="Times New Roman" w:eastAsia="宋体" w:cs="Times New Roman"/>
          <w:kern w:val="0"/>
          <w:sz w:val="28"/>
          <w:szCs w:val="28"/>
        </w:rPr>
        <w:t>包括抗逆性树种选育，岩石裸露地客土造林，滨海滩涂盐碱地、风口沙滩地风障保护措施等造林及示范区建设。根据海滨滩涂盐碱地、基岩海岸岩石裸露山地、风口沙滩地等困难立地条件，</w:t>
      </w:r>
      <w:r>
        <w:rPr>
          <w:rFonts w:hint="default" w:ascii="Times New Roman" w:hAnsi="Times New Roman" w:eastAsia="宋体" w:cs="Times New Roman"/>
          <w:color w:val="000000" w:themeColor="text1"/>
          <w:kern w:val="0"/>
          <w:sz w:val="28"/>
          <w:szCs w:val="28"/>
        </w:rPr>
        <w:t>宜乔则乔、</w:t>
      </w:r>
      <w:r>
        <w:rPr>
          <w:rFonts w:hint="default" w:ascii="Times New Roman" w:hAnsi="Times New Roman" w:eastAsia="宋体" w:cs="Times New Roman"/>
          <w:kern w:val="0"/>
          <w:sz w:val="28"/>
          <w:szCs w:val="28"/>
        </w:rPr>
        <w:t>宜灌则灌、宜草则草，乔灌草藤有机结合，综合运用工程改土、化学改土、生物改土、客土造林等措施，并采用容器苗、“ABT”生根粉、高分子吸水剂等保墒促活造林技术进行人工造林，提高困难立地造林成活率，恢复困难立地海岸森林植被，构筑稳定的森林生态系统。</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实施范围：</w:t>
      </w:r>
      <w:r>
        <w:rPr>
          <w:rFonts w:hint="default" w:ascii="Times New Roman" w:hAnsi="Times New Roman" w:eastAsia="宋体" w:cs="Times New Roman"/>
          <w:kern w:val="0"/>
          <w:sz w:val="28"/>
          <w:szCs w:val="28"/>
        </w:rPr>
        <w:t>涉及岩石裸露地、风口沙滩地等困难立地较多的区域。主要包括沿海5个设区市的8个县（市、区）。具体为霞浦县、蕉城区、长乐区、秀屿区（含北岸管委会、湄洲管委会）、泉港区、南安市、云霄县、东山县。</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建设规模：</w:t>
      </w:r>
      <w:r>
        <w:rPr>
          <w:rFonts w:hint="default" w:ascii="Times New Roman" w:hAnsi="Times New Roman" w:eastAsia="宋体" w:cs="Times New Roman"/>
          <w:bCs/>
          <w:kern w:val="0"/>
          <w:sz w:val="28"/>
          <w:szCs w:val="28"/>
        </w:rPr>
        <w:t>规划期内，困难</w:t>
      </w:r>
      <w:r>
        <w:rPr>
          <w:rFonts w:hint="default" w:ascii="Times New Roman" w:hAnsi="Times New Roman" w:eastAsia="宋体" w:cs="Times New Roman"/>
          <w:kern w:val="0"/>
          <w:sz w:val="28"/>
          <w:szCs w:val="28"/>
        </w:rPr>
        <w:t>立地基干林带造林面积899公顷。详见附表9。</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（五）基干林带区位内退塘（耕）造林项目</w:t>
      </w:r>
    </w:p>
    <w:p>
      <w:pPr>
        <w:autoSpaceDE w:val="0"/>
        <w:autoSpaceDN w:val="0"/>
        <w:adjustRightInd w:val="0"/>
        <w:ind w:firstLine="560"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由于传统的农业耕作和渔业养殖，致使基干林带区位内有大量的耕地和养殖塘（池），严重影响沿海基干林带的建设。根据沿海防护林体系建设需要，有必要调整农业产业结构，在重点建设区域逐步实施退塘（耕）造林，确保沿海基干林带建设用地之需。因此，规划将基干林带区位内退塘（耕）造林项目作为重点建设项目。</w:t>
      </w:r>
    </w:p>
    <w:p>
      <w:pPr>
        <w:autoSpaceDE w:val="0"/>
        <w:autoSpaceDN w:val="0"/>
        <w:adjustRightInd w:val="0"/>
        <w:ind w:firstLine="562" w:firstLineChars="200"/>
        <w:rPr>
          <w:rFonts w:hint="default" w:ascii="Times New Roman" w:hAnsi="Times New Roman" w:eastAsia="宋体" w:cs="Times New Roman"/>
          <w:kern w:val="0"/>
          <w:sz w:val="18"/>
          <w:szCs w:val="18"/>
        </w:rPr>
      </w:pPr>
      <w:r>
        <w:rPr>
          <w:rFonts w:hint="default" w:ascii="Times New Roman" w:hAnsi="Times New Roman" w:eastAsia="宋体" w:cs="Times New Roman"/>
          <w:b/>
          <w:kern w:val="0"/>
          <w:sz w:val="28"/>
          <w:szCs w:val="28"/>
        </w:rPr>
        <w:t>建设内容：</w:t>
      </w:r>
      <w:r>
        <w:rPr>
          <w:rFonts w:hint="default" w:ascii="Times New Roman" w:hAnsi="Times New Roman" w:eastAsia="宋体" w:cs="Times New Roman"/>
          <w:kern w:val="0"/>
          <w:sz w:val="28"/>
          <w:szCs w:val="28"/>
        </w:rPr>
        <w:t>建设退塘（耕）造林示范区，对重点区域内基干林带达不到建设标准的地段，逐步实施退塘（耕）造林，构筑完善的沿海绿色生态屏障。</w:t>
      </w:r>
    </w:p>
    <w:p>
      <w:pPr>
        <w:autoSpaceDE w:val="0"/>
        <w:autoSpaceDN w:val="0"/>
        <w:adjustRightInd w:val="0"/>
        <w:ind w:firstLine="562" w:firstLineChars="200"/>
        <w:rPr>
          <w:rFonts w:hint="default" w:ascii="Times New Roman" w:hAnsi="Times New Roman" w:eastAsia="宋体" w:cs="Times New Roman"/>
          <w:kern w:val="0"/>
          <w:sz w:val="28"/>
          <w:szCs w:val="28"/>
        </w:rPr>
      </w:pPr>
      <w:r>
        <w:rPr>
          <w:rFonts w:hint="default" w:ascii="Times New Roman" w:hAnsi="Times New Roman" w:eastAsia="宋体" w:cs="Times New Roman"/>
          <w:b/>
          <w:kern w:val="0"/>
          <w:sz w:val="28"/>
          <w:szCs w:val="28"/>
        </w:rPr>
        <w:t>实施范围：</w:t>
      </w:r>
      <w:r>
        <w:rPr>
          <w:rFonts w:hint="default" w:ascii="Times New Roman" w:hAnsi="Times New Roman" w:eastAsia="宋体" w:cs="Times New Roman"/>
          <w:kern w:val="0"/>
          <w:sz w:val="28"/>
          <w:szCs w:val="28"/>
        </w:rPr>
        <w:t>涉及基干林带达不到建设标准的区域。主要包括沿海4个设区市的5个县（市、区）。具体为福鼎市、长乐区、惠安县（含台商管委会）、云霄县、东山县。</w:t>
      </w:r>
    </w:p>
    <w:p>
      <w:pPr>
        <w:autoSpaceDE w:val="0"/>
        <w:autoSpaceDN w:val="0"/>
        <w:adjustRightInd w:val="0"/>
        <w:ind w:firstLine="562" w:firstLineChars="200"/>
        <w:rPr>
          <w:rFonts w:hint="default" w:ascii="Times New Roman" w:hAnsi="Times New Roman" w:eastAsia="宋体" w:cs="Times New Roman"/>
          <w:kern w:val="0"/>
          <w:sz w:val="28"/>
          <w:szCs w:val="28"/>
        </w:rPr>
        <w:sectPr>
          <w:pgSz w:w="11906" w:h="16838"/>
          <w:pgMar w:top="1440" w:right="1800" w:bottom="1440" w:left="1800" w:header="851" w:footer="992" w:gutter="0"/>
          <w:cols w:space="425" w:num="1"/>
          <w:docGrid w:type="lines" w:linePitch="312" w:charSpace="0"/>
        </w:sectPr>
      </w:pPr>
      <w:r>
        <w:rPr>
          <w:rFonts w:hint="default" w:ascii="Times New Roman" w:hAnsi="Times New Roman" w:eastAsia="宋体" w:cs="Times New Roman"/>
          <w:b/>
          <w:kern w:val="0"/>
          <w:sz w:val="28"/>
          <w:szCs w:val="28"/>
        </w:rPr>
        <w:t>建设规模：</w:t>
      </w:r>
      <w:r>
        <w:rPr>
          <w:rFonts w:hint="default" w:ascii="Times New Roman" w:hAnsi="Times New Roman" w:eastAsia="宋体" w:cs="Times New Roman"/>
          <w:bCs/>
          <w:kern w:val="0"/>
          <w:sz w:val="28"/>
          <w:szCs w:val="28"/>
        </w:rPr>
        <w:t>规划期内退塘</w:t>
      </w:r>
      <w:r>
        <w:rPr>
          <w:rFonts w:hint="default" w:ascii="Times New Roman" w:hAnsi="Times New Roman" w:eastAsia="宋体" w:cs="Times New Roman"/>
          <w:kern w:val="0"/>
          <w:sz w:val="28"/>
          <w:szCs w:val="28"/>
        </w:rPr>
        <w:t>（耕）造林面积44公顷。详见附表10。</w:t>
      </w:r>
    </w:p>
    <w:p>
      <w:pPr>
        <w:pStyle w:val="2"/>
        <w:spacing w:beforeLines="100" w:afterLines="100" w:line="240" w:lineRule="auto"/>
        <w:jc w:val="center"/>
        <w:rPr>
          <w:rFonts w:ascii="Times New Roman" w:hAnsi="Times New Roman" w:eastAsia="微软雅黑" w:cs="Times New Roman"/>
          <w:sz w:val="32"/>
          <w:szCs w:val="32"/>
        </w:rPr>
      </w:pPr>
      <w:bookmarkStart w:id="69" w:name="_Toc18891"/>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七</w:t>
      </w:r>
      <w:r>
        <w:rPr>
          <w:rFonts w:ascii="Times New Roman" w:hAnsi="Times New Roman" w:eastAsia="微软雅黑" w:cs="Times New Roman"/>
          <w:sz w:val="32"/>
          <w:szCs w:val="32"/>
        </w:rPr>
        <w:t>章 预期效益分析</w:t>
      </w:r>
      <w:bookmarkEnd w:id="69"/>
    </w:p>
    <w:p>
      <w:pPr>
        <w:pStyle w:val="4"/>
        <w:spacing w:before="0" w:after="0" w:line="240" w:lineRule="auto"/>
        <w:ind w:firstLine="600" w:firstLineChars="200"/>
        <w:rPr>
          <w:rFonts w:ascii="Times New Roman" w:hAnsi="Times New Roman" w:eastAsia="微软雅黑" w:cs="Times New Roman"/>
          <w:sz w:val="30"/>
          <w:szCs w:val="30"/>
        </w:rPr>
      </w:pPr>
      <w:bookmarkStart w:id="70" w:name="_Toc11798"/>
      <w:bookmarkStart w:id="71" w:name="_Toc505330741"/>
      <w:r>
        <w:rPr>
          <w:rFonts w:ascii="Times New Roman" w:hAnsi="Times New Roman" w:eastAsia="微软雅黑" w:cs="Times New Roman"/>
          <w:sz w:val="30"/>
          <w:szCs w:val="30"/>
        </w:rPr>
        <w:t>一、生态效益</w:t>
      </w:r>
      <w:bookmarkEnd w:id="70"/>
      <w:bookmarkEnd w:id="71"/>
    </w:p>
    <w:p>
      <w:pPr>
        <w:pStyle w:val="5"/>
        <w:spacing w:before="0" w:after="0" w:line="240" w:lineRule="auto"/>
        <w:ind w:firstLine="562" w:firstLineChars="200"/>
        <w:rPr>
          <w:rFonts w:hint="default" w:ascii="Times New Roman" w:hAnsi="Times New Roman" w:eastAsia="宋体" w:cs="Times New Roman"/>
          <w:sz w:val="28"/>
          <w:szCs w:val="28"/>
        </w:rPr>
      </w:pPr>
      <w:bookmarkStart w:id="72" w:name="_Toc505330742"/>
      <w:r>
        <w:rPr>
          <w:rFonts w:hint="default" w:ascii="Times New Roman" w:hAnsi="Times New Roman" w:eastAsia="宋体" w:cs="Times New Roman"/>
          <w:sz w:val="28"/>
          <w:szCs w:val="28"/>
        </w:rPr>
        <w:t>（一）防灾减灾净化海洋</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以红树林为主的防浪消浪林带在消浪护岸、防灾减灾、浄化海洋环境等方面将发挥巨大的作用，其防洪减灾价值可等同于完成一项修筑海堤工程和维持海堤日常管理所需耗费的成本。</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（二）改善沿海生态环境</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海岸基干林带和海岸缓冲林带建设对于改善沿海地区的生态环境、抗击台风风暴潮自然灾害袭击、减轻其破坏程度等方面作用显著，特别是对沿海地区海堤、农田、房屋、公路、通讯、供电等基础设施具有重要的保护作用。同时，纵深防护林建设有效改善林带防护范围内的生物生长环境，调节区域小气候，美化区域人居环境。</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（三）生态服务功能显著</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工程建成后，福建省沿海防护林新增森林生态服务功能价值为1238075万元/年，其中涵养水源353839万元/年，固土保肥355682万元/年，固碳释氧408743万元/年，积累营养物质38958万元/年，净化大气环境18718万元/年，保护生物多样性54502万元/年，森林防护7633万元/年。详见表7-1。</w:t>
      </w: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福建省沿海防护林体系建设工程生态服务功能价值</w:t>
      </w:r>
    </w:p>
    <w:p>
      <w:pPr>
        <w:jc w:val="center"/>
        <w:rPr>
          <w:rFonts w:hint="default" w:ascii="Times New Roman" w:hAnsi="Times New Roman" w:eastAsia="宋体" w:cs="Times New Roman"/>
          <w:sz w:val="24"/>
          <w:szCs w:val="24"/>
        </w:rPr>
      </w:pPr>
      <w:r>
        <w:rPr>
          <w:rFonts w:hint="default" w:ascii="Times New Roman" w:hAnsi="Times New Roman" w:eastAsia="宋体" w:cs="Times New Roman"/>
          <w:sz w:val="28"/>
          <w:szCs w:val="28"/>
        </w:rPr>
        <w:t xml:space="preserve">表7-1    </w:t>
      </w:r>
      <w:r>
        <w:rPr>
          <w:rFonts w:hint="default" w:ascii="Times New Roman" w:hAnsi="Times New Roman" w:eastAsia="宋体" w:cs="Times New Roman"/>
          <w:sz w:val="24"/>
          <w:szCs w:val="24"/>
        </w:rPr>
        <w:t xml:space="preserve">                                            单位：万元</w:t>
      </w:r>
      <w:r>
        <w:rPr>
          <w:rFonts w:hint="default" w:ascii="Times New Roman" w:hAnsi="Times New Roman" w:eastAsia="宋体" w:cs="Times New Roman"/>
          <w:sz w:val="28"/>
          <w:szCs w:val="28"/>
        </w:rPr>
        <w:t>/年</w:t>
      </w:r>
    </w:p>
    <w:tbl>
      <w:tblPr>
        <w:tblStyle w:val="19"/>
        <w:tblW w:w="8336" w:type="dxa"/>
        <w:tblInd w:w="0" w:type="dxa"/>
        <w:tblLayout w:type="fixed"/>
        <w:tblCellMar>
          <w:top w:w="15" w:type="dxa"/>
          <w:left w:w="15" w:type="dxa"/>
          <w:bottom w:w="15" w:type="dxa"/>
          <w:right w:w="15" w:type="dxa"/>
        </w:tblCellMar>
      </w:tblPr>
      <w:tblGrid>
        <w:gridCol w:w="1844"/>
        <w:gridCol w:w="941"/>
        <w:gridCol w:w="811"/>
        <w:gridCol w:w="812"/>
        <w:gridCol w:w="811"/>
        <w:gridCol w:w="812"/>
        <w:gridCol w:w="682"/>
        <w:gridCol w:w="1070"/>
        <w:gridCol w:w="553"/>
      </w:tblGrid>
      <w:tr>
        <w:tblPrEx>
          <w:tblLayout w:type="fixed"/>
          <w:tblCellMar>
            <w:top w:w="15" w:type="dxa"/>
            <w:left w:w="15" w:type="dxa"/>
            <w:bottom w:w="15" w:type="dxa"/>
            <w:right w:w="15" w:type="dxa"/>
          </w:tblCellMar>
        </w:tblPrEx>
        <w:trPr>
          <w:trHeight w:val="450"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统计单位</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功能</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合计</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涵养</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水源</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固土</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保肥</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固碳</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释氧</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积累营</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养物质</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净化</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大气</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生物多样</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性保护</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森林</w:t>
            </w:r>
          </w:p>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防护</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福建省</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1238075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353839</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355682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408743</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38958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18718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54502</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7633</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宁德市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229976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65727</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66069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75925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7236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3477</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10124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1418</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福州市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226149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64633</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64970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74662</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7116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3419</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9955</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1394</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莆田市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81933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23416</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23538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27050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2578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1239</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3607</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505</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泉州市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330378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94421</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94913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109072</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10396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4995</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14544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2037</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漳州市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300349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85839</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86286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99158</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9451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4541</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13222</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1852</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厦门市</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32243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9215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9263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10645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487</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1419</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199</w:t>
            </w:r>
          </w:p>
        </w:tc>
      </w:tr>
      <w:tr>
        <w:tblPrEx>
          <w:tblLayout w:type="fixed"/>
          <w:tblCellMar>
            <w:top w:w="15" w:type="dxa"/>
            <w:left w:w="15" w:type="dxa"/>
            <w:bottom w:w="15" w:type="dxa"/>
            <w:right w:w="15" w:type="dxa"/>
          </w:tblCellMar>
        </w:tblPrEx>
        <w:trPr>
          <w:trHeight w:val="286" w:hRule="atLeast"/>
        </w:trPr>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bCs/>
                <w:kern w:val="0"/>
                <w:szCs w:val="21"/>
              </w:rPr>
              <w:t>平潭综合实验区</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37047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10588</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10643</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12231</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1166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560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1631</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bCs/>
                <w:szCs w:val="21"/>
              </w:rPr>
            </w:pPr>
            <w:r>
              <w:rPr>
                <w:rFonts w:hint="default" w:ascii="Times New Roman" w:hAnsi="Times New Roman" w:eastAsia="宋体" w:cs="Times New Roman"/>
                <w:color w:val="000000"/>
                <w:kern w:val="0"/>
                <w:szCs w:val="21"/>
              </w:rPr>
              <w:t>228</w:t>
            </w:r>
          </w:p>
        </w:tc>
      </w:tr>
    </w:tbl>
    <w:p>
      <w:pPr>
        <w:pStyle w:val="4"/>
        <w:spacing w:before="0" w:after="0" w:line="240" w:lineRule="auto"/>
        <w:ind w:firstLine="600" w:firstLineChars="200"/>
        <w:rPr>
          <w:rFonts w:ascii="Times New Roman" w:hAnsi="Times New Roman" w:eastAsia="微软雅黑" w:cs="Times New Roman"/>
          <w:sz w:val="30"/>
          <w:szCs w:val="30"/>
        </w:rPr>
      </w:pPr>
      <w:bookmarkStart w:id="73" w:name="_Toc28993"/>
      <w:r>
        <w:rPr>
          <w:rFonts w:ascii="Times New Roman" w:hAnsi="Times New Roman" w:eastAsia="微软雅黑" w:cs="Times New Roman"/>
          <w:sz w:val="30"/>
          <w:szCs w:val="30"/>
        </w:rPr>
        <w:t>二、社会效益</w:t>
      </w:r>
      <w:bookmarkEnd w:id="72"/>
      <w:bookmarkEnd w:id="73"/>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（一）提升窗口形象</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沿海地区是对外开放和发展外向型经济的重要基地和窗口，是古代海上丝绸之路的重要起点和发祥地，是新时期我国对外开放的重要口岸，在对外开放的全局中地位更加突出。大力构建沿海防护林体系，有利于提升我省对外开放的窗口形象。</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（二）助推乡村振兴</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防护林体系建设可有效地提高农业综合生产能力，为社会主义新农村建设奠定坚实的物质基础，为有效解决“三农问题”，着力推进为民办实事提供有力抓手；体系建设是改善生态环境，打造城乡互动、优势互补、相互协调、共同发展发展新格局的重要举措；体系建设为培育农村经济新的增长点，助推乡村振兴战略实施提供契机。</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（三）维护社会稳定</w:t>
      </w:r>
    </w:p>
    <w:p>
      <w:pPr>
        <w:ind w:firstLine="560" w:firstLineChars="200"/>
        <w:rPr>
          <w:rFonts w:hint="default" w:ascii="Times New Roman" w:hAnsi="Times New Roman" w:eastAsia="宋体" w:cs="Times New Roman"/>
        </w:rPr>
      </w:pPr>
      <w:r>
        <w:rPr>
          <w:rFonts w:hint="default" w:ascii="Times New Roman" w:hAnsi="Times New Roman" w:eastAsia="宋体" w:cs="Times New Roman"/>
          <w:sz w:val="28"/>
          <w:szCs w:val="28"/>
        </w:rPr>
        <w:t>沿海防护林体系工程建设总体时间长、工程量大，需要大量的劳动力，是吸纳农村剩余劳动力的有效途径之一；工程后期的管理、经营、管护、生物多样性保护、科学研究等将提供大量社会就业机会，也能缓解社会就业压力、创造社会就业价值，有利于维护社会稳定。</w:t>
      </w:r>
    </w:p>
    <w:p>
      <w:pPr>
        <w:pStyle w:val="4"/>
        <w:spacing w:before="0" w:after="0" w:line="240" w:lineRule="auto"/>
        <w:ind w:firstLine="600" w:firstLineChars="200"/>
        <w:rPr>
          <w:rFonts w:ascii="Times New Roman" w:hAnsi="Times New Roman" w:eastAsia="微软雅黑" w:cs="Times New Roman"/>
          <w:sz w:val="30"/>
          <w:szCs w:val="30"/>
        </w:rPr>
      </w:pPr>
      <w:bookmarkStart w:id="74" w:name="_Toc505330743"/>
      <w:bookmarkStart w:id="75" w:name="_Toc17995"/>
      <w:r>
        <w:rPr>
          <w:rFonts w:ascii="Times New Roman" w:hAnsi="Times New Roman" w:eastAsia="微软雅黑" w:cs="Times New Roman"/>
          <w:sz w:val="30"/>
          <w:szCs w:val="30"/>
        </w:rPr>
        <w:t>三、经济效益</w:t>
      </w:r>
      <w:bookmarkEnd w:id="74"/>
      <w:bookmarkEnd w:id="75"/>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（一）有利于开辟区域经济增收渠道</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沿海防护林体系建设可以增加森林面积、活立木蓄积，大幅度提升木材储备价值；可以提供丰富的非木质林产品，增加沿海地区林农的经济收入；可以吸引大量的游客，直接带动森林旅游产业发展，突出林业的社会经济地位，对调整经济产业结构，实现一二三产业融合具有重要促进作用。</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（二）有利于减少自然灾害经济损失</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福建沿海自然灾害多发区，台风、洪涝频繁。近几年，每年因自然灾害造成的直接经济损失达数十到上百亿元。沿海防护林作为沿海城市森林的重要组成部分，具有防风固沙、抵御台风的重要生态防护功能，有利于减少自然灾害带来的经济损失，是有效保护保护沿海地区广大人民群众生命财产安全的重要保障。</w:t>
      </w:r>
    </w:p>
    <w:p>
      <w:pPr>
        <w:pStyle w:val="5"/>
        <w:spacing w:before="0" w:after="0" w:line="240" w:lineRule="auto"/>
        <w:ind w:firstLine="562"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（三）有利于优化沿海地区投资环境</w:t>
      </w:r>
    </w:p>
    <w:p>
      <w:pPr>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随着沿海地区的经济日益发达，人口愈加密集，沿海部分地区呈现生态环境状况下降、质量恶化的趋势。沿海防护林体系建设可以改善沿海地区的生态状况、美化人居条件、优化投资环境、吸引外来资本，有利于树立沿海地区良好的外部形象，促进对外交流和开放。</w:t>
      </w:r>
      <w:bookmarkStart w:id="76" w:name="_Toc505330744"/>
    </w:p>
    <w:p>
      <w:pPr>
        <w:pStyle w:val="2"/>
        <w:spacing w:beforeLines="100" w:afterLines="100" w:line="240" w:lineRule="auto"/>
        <w:jc w:val="center"/>
        <w:rPr>
          <w:rFonts w:ascii="Times New Roman" w:hAnsi="Times New Roman" w:eastAsia="微软雅黑" w:cs="Times New Roman"/>
          <w:sz w:val="32"/>
          <w:szCs w:val="32"/>
        </w:rPr>
      </w:pPr>
      <w:bookmarkStart w:id="77" w:name="_Toc24440"/>
      <w:r>
        <w:rPr>
          <w:rFonts w:ascii="Times New Roman" w:hAnsi="Times New Roman" w:eastAsia="微软雅黑" w:cs="Times New Roman"/>
          <w:sz w:val="32"/>
          <w:szCs w:val="32"/>
        </w:rPr>
        <w:t>第</w:t>
      </w:r>
      <w:r>
        <w:rPr>
          <w:rFonts w:hint="eastAsia" w:ascii="Times New Roman" w:hAnsi="Times New Roman" w:eastAsia="微软雅黑" w:cs="Times New Roman"/>
          <w:sz w:val="32"/>
          <w:szCs w:val="32"/>
        </w:rPr>
        <w:t>八</w:t>
      </w:r>
      <w:r>
        <w:rPr>
          <w:rFonts w:ascii="Times New Roman" w:hAnsi="Times New Roman" w:eastAsia="微软雅黑" w:cs="Times New Roman"/>
          <w:sz w:val="32"/>
          <w:szCs w:val="32"/>
        </w:rPr>
        <w:t>章 保障措施</w:t>
      </w:r>
      <w:bookmarkEnd w:id="76"/>
      <w:bookmarkEnd w:id="77"/>
    </w:p>
    <w:bookmarkEnd w:id="64"/>
    <w:p>
      <w:pPr>
        <w:pStyle w:val="4"/>
        <w:spacing w:before="0" w:after="0" w:line="240" w:lineRule="auto"/>
        <w:ind w:firstLine="600" w:firstLineChars="200"/>
        <w:rPr>
          <w:rFonts w:ascii="Times New Roman" w:hAnsi="Times New Roman" w:eastAsia="微软雅黑" w:cs="Times New Roman"/>
          <w:sz w:val="30"/>
          <w:szCs w:val="30"/>
        </w:rPr>
      </w:pPr>
      <w:bookmarkStart w:id="78" w:name="_Toc12096"/>
      <w:bookmarkStart w:id="79" w:name="_Toc505330745"/>
      <w:r>
        <w:rPr>
          <w:rFonts w:ascii="Times New Roman" w:hAnsi="Times New Roman" w:eastAsia="微软雅黑" w:cs="Times New Roman"/>
          <w:sz w:val="30"/>
          <w:szCs w:val="30"/>
        </w:rPr>
        <w:t>一、组织保障</w:t>
      </w:r>
      <w:bookmarkEnd w:id="78"/>
      <w:bookmarkEnd w:id="79"/>
    </w:p>
    <w:p>
      <w:pPr>
        <w:pStyle w:val="10"/>
        <w:ind w:firstLine="420" w:firstLineChars="15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沿海防护林体系是福建沿海的绿色生态屏障，是抵御台风、暴雨、海啸和风暴潮等自然灾害的重要防线, 是保障沿海地区经济繁荣和社会可持续发展的重要支撑。各级党委、政府要把沿海防护林体系建设作为福建生态省建设的重要内容，主动融入生态文明建设战略，把沿海防护林建设作为一项德政工程、民心工程，作为林业工作的一个重点，亲自部署，亲自推动，形成主要领导亲自抓、分管领导具体抓、林业部门抓落实的工作机制。同时，要实行沿海防护林建设目标责任制，实行目标管理，将沿海防护林体系建设纳入到政绩考核之中，并建立相应的奖励机制和责任追究制度，确保建设任务落到实处。 </w:t>
      </w:r>
    </w:p>
    <w:p>
      <w:pPr>
        <w:pStyle w:val="4"/>
        <w:spacing w:before="0" w:after="0" w:line="240" w:lineRule="auto"/>
        <w:ind w:firstLine="600" w:firstLineChars="200"/>
        <w:rPr>
          <w:rFonts w:ascii="Times New Roman" w:hAnsi="Times New Roman" w:eastAsia="微软雅黑" w:cs="Times New Roman"/>
          <w:sz w:val="30"/>
          <w:szCs w:val="30"/>
        </w:rPr>
      </w:pPr>
      <w:bookmarkStart w:id="80" w:name="_Toc367"/>
      <w:bookmarkStart w:id="81" w:name="_Toc505330746"/>
      <w:r>
        <w:rPr>
          <w:rFonts w:hint="eastAsia" w:ascii="Times New Roman" w:hAnsi="Times New Roman" w:eastAsia="微软雅黑" w:cs="Times New Roman"/>
          <w:sz w:val="30"/>
          <w:szCs w:val="30"/>
        </w:rPr>
        <w:t>二、用地</w:t>
      </w:r>
      <w:r>
        <w:rPr>
          <w:rFonts w:ascii="Times New Roman" w:hAnsi="Times New Roman" w:eastAsia="微软雅黑" w:cs="Times New Roman"/>
          <w:sz w:val="30"/>
          <w:szCs w:val="30"/>
        </w:rPr>
        <w:t>保障</w:t>
      </w:r>
      <w:bookmarkEnd w:id="80"/>
      <w:bookmarkEnd w:id="81"/>
    </w:p>
    <w:p>
      <w:pPr>
        <w:spacing w:line="640" w:lineRule="exact"/>
        <w:ind w:firstLine="560" w:firstLineChars="200"/>
        <w:rPr>
          <w:rFonts w:ascii="Times New Roman" w:hAnsi="Times New Roman" w:cs="Times New Roman"/>
          <w:sz w:val="28"/>
          <w:szCs w:val="28"/>
        </w:rPr>
      </w:pPr>
      <w:r>
        <w:rPr>
          <w:rFonts w:hint="default" w:ascii="Times New Roman" w:hAnsi="Times New Roman" w:eastAsia="宋体" w:cs="Times New Roman"/>
          <w:sz w:val="28"/>
          <w:szCs w:val="28"/>
        </w:rPr>
        <w:t xml:space="preserve">各地要积极采取有效措施，破解沿海防护林特别是基干林带建设用地落实难的问题。一是拓展建设空间。对海岸前沿的耕地，鼓励采取征用、调整、租赁等多种方式开展休耕造林，扩大沿海基干林带面积。通过新造和加宽海岸前沿护路林，尽可能使护路林网宽度达到50米以上，减少基干林带断带率。结合海岸线整治修复工程，对非法占用沿海基干林带进行水产养殖、耕作、采石、挖沙、取土等违法行为，采取有力措施依法查处，实现退耕、退养、退建，恢复营造沿海基干林带。要充分挖掘滩涂潜力，利用闲置滩涂（包括互花米草侵蚀的滩涂）种植红树林，增加基干林带面积。二是完善农田林网，保护农业生产。要依照《福建省沿海防护林条例》规定，对受风沙危害的农田，应当按照不少于受害农田面积的3%营造农田林网，并按照《高标准农田建设通则GB/T30600-2014》要求营造高标准农田林网；对原有受破坏的农田林网要逐步恢复完善，增强农作物抵御自然灾害的能力。 </w:t>
      </w:r>
    </w:p>
    <w:p>
      <w:pPr>
        <w:pStyle w:val="4"/>
        <w:spacing w:before="0" w:after="0" w:line="240" w:lineRule="auto"/>
        <w:ind w:firstLine="600" w:firstLineChars="200"/>
        <w:rPr>
          <w:rFonts w:ascii="Times New Roman" w:hAnsi="Times New Roman" w:eastAsia="微软雅黑" w:cs="Times New Roman"/>
          <w:sz w:val="30"/>
          <w:szCs w:val="30"/>
        </w:rPr>
      </w:pPr>
      <w:bookmarkStart w:id="82" w:name="_Toc19456"/>
      <w:bookmarkStart w:id="83" w:name="_Toc505330747"/>
      <w:r>
        <w:rPr>
          <w:rFonts w:hint="eastAsia" w:ascii="Times New Roman" w:hAnsi="Times New Roman" w:eastAsia="微软雅黑" w:cs="Times New Roman"/>
          <w:sz w:val="30"/>
          <w:szCs w:val="30"/>
        </w:rPr>
        <w:t>三、资金保障</w:t>
      </w:r>
      <w:bookmarkEnd w:id="82"/>
      <w:bookmarkEnd w:id="83"/>
    </w:p>
    <w:p>
      <w:pPr>
        <w:spacing w:line="560" w:lineRule="exact"/>
        <w:ind w:firstLine="560" w:firstLineChars="200"/>
        <w:rPr>
          <w:rFonts w:hint="eastAsia" w:ascii="Times New Roman" w:hAnsi="Times New Roman" w:eastAsia="宋体" w:cs="Times New Roman"/>
          <w:sz w:val="28"/>
          <w:szCs w:val="28"/>
          <w:lang w:eastAsia="zh-CN"/>
        </w:rPr>
      </w:pPr>
      <w:r>
        <w:rPr>
          <w:rFonts w:hint="default" w:ascii="Times New Roman" w:hAnsi="Times New Roman" w:eastAsia="宋体" w:cs="Times New Roman"/>
          <w:sz w:val="28"/>
          <w:szCs w:val="28"/>
        </w:rPr>
        <w:t>沿海防护林体系建设是造福社会的公益事业，需要采取多渠道、多层次的办法，加强沿海防护林体建设投入。要在积极争取中央资金投入的基础上，加大地方各级财政资金投入，健全以财政投入为主，社会多元化投入为辅的资金保障机制。要从舆论宣传入手，调动各方造林积极性，积极鼓励企业、部门、机关事业单位、社会团体等，采取冠名、认养、建植树基地等办法，参与沿海防护林体系建设。同时各级政府要认真落实《福建省沿海防护林条例》，把沿海防护林体系建设纳入财政预算，</w:t>
      </w:r>
      <w:r>
        <w:rPr>
          <w:rFonts w:hint="eastAsia" w:ascii="Times New Roman" w:hAnsi="Times New Roman" w:eastAsia="宋体" w:cs="Times New Roman"/>
          <w:sz w:val="28"/>
          <w:szCs w:val="28"/>
          <w:lang w:val="en-US" w:eastAsia="zh-CN"/>
        </w:rPr>
        <w:t xml:space="preserve"> </w:t>
      </w:r>
    </w:p>
    <w:p>
      <w:pPr>
        <w:pStyle w:val="4"/>
        <w:spacing w:before="0" w:after="0" w:line="240" w:lineRule="auto"/>
        <w:ind w:firstLine="600" w:firstLineChars="200"/>
        <w:rPr>
          <w:rFonts w:ascii="Times New Roman" w:hAnsi="Times New Roman" w:eastAsia="微软雅黑" w:cs="Times New Roman"/>
          <w:sz w:val="30"/>
          <w:szCs w:val="30"/>
        </w:rPr>
      </w:pPr>
      <w:bookmarkStart w:id="84" w:name="_Toc505330748"/>
      <w:bookmarkStart w:id="85" w:name="_Toc22496"/>
      <w:r>
        <w:rPr>
          <w:rFonts w:ascii="Times New Roman" w:hAnsi="Times New Roman" w:eastAsia="微软雅黑" w:cs="Times New Roman"/>
          <w:sz w:val="30"/>
          <w:szCs w:val="30"/>
        </w:rPr>
        <w:t>四、科技保障</w:t>
      </w:r>
      <w:bookmarkEnd w:id="84"/>
      <w:bookmarkEnd w:id="85"/>
    </w:p>
    <w:p>
      <w:pPr>
        <w:spacing w:line="560" w:lineRule="exact"/>
        <w:ind w:firstLine="567"/>
        <w:rPr>
          <w:rFonts w:hint="default" w:ascii="Times New Roman" w:hAnsi="Times New Roman" w:eastAsia="宋体" w:cs="Times New Roman"/>
          <w:kern w:val="44"/>
          <w:sz w:val="28"/>
          <w:szCs w:val="28"/>
        </w:rPr>
      </w:pPr>
      <w:r>
        <w:rPr>
          <w:rFonts w:hint="default" w:ascii="Times New Roman" w:hAnsi="Times New Roman" w:eastAsia="宋体" w:cs="Times New Roman"/>
          <w:color w:val="000000" w:themeColor="text1"/>
          <w:kern w:val="44"/>
          <w:sz w:val="28"/>
          <w:szCs w:val="28"/>
        </w:rPr>
        <w:t>牢固树立科学技术是第一生产力的思想</w:t>
      </w:r>
      <w:r>
        <w:rPr>
          <w:rFonts w:hint="default" w:ascii="Times New Roman" w:hAnsi="Times New Roman" w:eastAsia="宋体" w:cs="Times New Roman"/>
          <w:kern w:val="44"/>
          <w:sz w:val="28"/>
          <w:szCs w:val="28"/>
        </w:rPr>
        <w:t>，加大沿海防护林建设科技研发投入力度，立足实际，加强原始创新研究和集成、引进吸收再创新，促进海防林工程建设全面推进。一是整合各方技术力量，尽快建立健全政府扶持与市场引导、林业技术推广机构与科研单位、林业院校、群众性科技组织、农民技术员等社会力量相结合的新型林业技术推广体系，鼓励林业科技人员到生产第一线开展技术服务和技术咨询，下大力气解决沙岸和泥岸强风区断带的造林等技术难点；二是坚持科研与生产相结合，提高科技成果转化率、应用率和贡献率，突出良种选育和更新造林技术等方面的优势，加快沿海防护林更新改造步伐；三是科学地制定林业新技术推广计划，加强宏观指导，开展各种技术培训，为林业生产提供先进的实用技术，提高沿海防护林建设科研水平；四是在沿海地区设立生态定位观测站，收集、分析、研究各类监测数据，为海防林建设提供科学依据。</w:t>
      </w:r>
    </w:p>
    <w:p>
      <w:pPr>
        <w:pStyle w:val="4"/>
        <w:spacing w:before="0" w:after="0" w:line="240" w:lineRule="auto"/>
        <w:ind w:firstLine="600" w:firstLineChars="200"/>
        <w:rPr>
          <w:rFonts w:ascii="Times New Roman" w:hAnsi="Times New Roman" w:eastAsia="微软雅黑" w:cs="Times New Roman"/>
          <w:sz w:val="30"/>
          <w:szCs w:val="30"/>
        </w:rPr>
      </w:pPr>
      <w:bookmarkStart w:id="86" w:name="_Toc9398"/>
      <w:r>
        <w:rPr>
          <w:rFonts w:hint="eastAsia" w:ascii="Times New Roman" w:hAnsi="Times New Roman" w:eastAsia="微软雅黑" w:cs="Times New Roman"/>
          <w:sz w:val="30"/>
          <w:szCs w:val="30"/>
        </w:rPr>
        <w:t>五、</w:t>
      </w:r>
      <w:r>
        <w:rPr>
          <w:rFonts w:ascii="Times New Roman" w:hAnsi="Times New Roman" w:eastAsia="微软雅黑" w:cs="Times New Roman"/>
          <w:sz w:val="30"/>
          <w:szCs w:val="30"/>
        </w:rPr>
        <w:t>政策保障</w:t>
      </w:r>
      <w:bookmarkEnd w:id="86"/>
    </w:p>
    <w:p>
      <w:pPr>
        <w:spacing w:line="560" w:lineRule="exact"/>
        <w:ind w:firstLine="567"/>
        <w:rPr>
          <w:rFonts w:hint="default" w:ascii="Times New Roman" w:hAnsi="Times New Roman" w:eastAsia="宋体" w:cs="Times New Roman"/>
          <w:kern w:val="44"/>
          <w:sz w:val="28"/>
          <w:szCs w:val="28"/>
        </w:rPr>
      </w:pPr>
      <w:r>
        <w:rPr>
          <w:rFonts w:hint="default" w:ascii="Times New Roman" w:hAnsi="Times New Roman" w:eastAsia="宋体" w:cs="Times New Roman"/>
          <w:kern w:val="44"/>
          <w:sz w:val="28"/>
          <w:szCs w:val="28"/>
        </w:rPr>
        <w:t>一是各地应认真贯彻《福建省沿海防护林条例》，健全森林“三防”机构，建立保障沿海防护林体系建设的政策框架体系，正确处理好沿海地区经济发展与防护林资源保护的关系。二是工程建设认真遵守《中华人民共和国海域使用管理法》、《福建省海域使用管理条例》和《福建省海岸带保护与利用管理条例》，并符合《福建省海洋功能区划（2011-2020年）》、《福建省海岸带保护与利用规划（2016-2020年）》和《福建省海洋生态保护红线划定成果》。三是及时出台有关配套政策，严格管理、科学指导沿海防护林体系建设。四是加强执法机构和队伍建设，实行重点保护；严厉打击各种毁林开垦、非法挖沙取土等破坏防护林的违法犯罪行为，巩固沿海防护林体系的建设成果。</w:t>
      </w:r>
    </w:p>
    <w:p>
      <w:pPr>
        <w:pStyle w:val="4"/>
        <w:spacing w:before="0" w:after="0" w:line="240" w:lineRule="auto"/>
        <w:ind w:firstLine="600" w:firstLineChars="200"/>
        <w:rPr>
          <w:rFonts w:ascii="Times New Roman" w:hAnsi="Times New Roman" w:eastAsia="微软雅黑" w:cs="Times New Roman"/>
          <w:sz w:val="30"/>
          <w:szCs w:val="30"/>
        </w:rPr>
      </w:pPr>
      <w:bookmarkStart w:id="87" w:name="_Toc505330750"/>
      <w:bookmarkStart w:id="88" w:name="_Toc4930"/>
      <w:r>
        <w:rPr>
          <w:rFonts w:hint="eastAsia" w:ascii="Times New Roman" w:hAnsi="Times New Roman" w:eastAsia="微软雅黑" w:cs="Times New Roman"/>
          <w:sz w:val="30"/>
          <w:szCs w:val="30"/>
        </w:rPr>
        <w:t>六、宣传保障</w:t>
      </w:r>
      <w:bookmarkEnd w:id="87"/>
      <w:bookmarkEnd w:id="88"/>
    </w:p>
    <w:p>
      <w:pPr>
        <w:ind w:firstLine="560" w:firstLineChars="200"/>
        <w:rPr>
          <w:rFonts w:hint="default" w:ascii="Times New Roman" w:hAnsi="Times New Roman" w:eastAsia="宋体" w:cs="Times New Roman"/>
          <w:kern w:val="44"/>
          <w:sz w:val="28"/>
          <w:szCs w:val="28"/>
        </w:rPr>
      </w:pPr>
      <w:r>
        <w:rPr>
          <w:rFonts w:hint="default" w:ascii="Times New Roman" w:hAnsi="Times New Roman" w:eastAsia="宋体" w:cs="Times New Roman"/>
          <w:kern w:val="44"/>
          <w:sz w:val="28"/>
          <w:szCs w:val="28"/>
        </w:rPr>
        <w:t>通过各种舆论工具，大力宣传沿海防护林体系建设重要的政治、经济和战略意义，引导各地正确处理好生态建设与经济发展的关系，在保护工程区现有森林资源为基础，以沿海基干林带建设、红树林保护和发展、滨海湿地保护与恢复、农田林网和城乡绿化美化为重点，努力构筑布局合理、结构稳定、功能完善的沿海绿色屏障，形成全社会关心、支持参与沿海防护林建设的良好氛围，为沿海地区资源、环境和社会经济可持续发展，助推乡村振兴创造良好的生态环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文本框 1028"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MIhm0O5AQAAVwMAAA4AAAAAAAAAAQAgAAAAHgEAAGRycy9lMm9Eb2MueG1sUEsFBgAAAAAGAAYA&#10;WQEAAEkFAAAAAA==&#10;">
          <v:path/>
          <v:fill on="f" focussize="0,0"/>
          <v:stroke on="f" joinstyle="miter"/>
          <v:imagedata o:title=""/>
          <o:lock v:ext="edit"/>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pict>
        <v:shape id="文本框 1025" o:spid="_x0000_s3074"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3QW1FLgBAABXAwAADgAAAAAAAAABACAAAAAeAQAAZHJzL2Uyb0RvYy54bWxQSwUGAAAAAAYABgBZ&#10;AQAASAUAAAAA&#10;">
          <v:path/>
          <v:fill on="f" focussize="0,0"/>
          <v:stroke on="f" joinstyle="miter"/>
          <v:imagedata o:title=""/>
          <o:lock v:ext="edit"/>
          <v:textbox inset="0mm,0mm,0mm,0mm" style="mso-fit-shape-to-text:t;">
            <w:txbxContent>
              <w:sdt>
                <w:sdtPr>
                  <w:id w:val="24178544"/>
                </w:sdtPr>
                <w:sdtContent>
                  <w:p>
                    <w:pPr>
                      <w:pStyle w:val="12"/>
                      <w:jc w:val="center"/>
                    </w:pPr>
                    <w:r>
                      <w:fldChar w:fldCharType="begin"/>
                    </w:r>
                    <w:r>
                      <w:instrText xml:space="preserve"> PAGE   \* MERGEFORMAT </w:instrText>
                    </w:r>
                    <w:r>
                      <w:fldChar w:fldCharType="separate"/>
                    </w:r>
                    <w:r>
                      <w:rPr>
                        <w:lang w:val="zh-CN"/>
                      </w:rPr>
                      <w:t>II</w:t>
                    </w:r>
                    <w:r>
                      <w:rPr>
                        <w:lang w:val="zh-CN"/>
                      </w:rPr>
                      <w:fldChar w:fldCharType="end"/>
                    </w:r>
                  </w:p>
                </w:sdtContent>
              </w:sdt>
              <w:p/>
            </w:txbxContent>
          </v:textbox>
        </v:shape>
      </w:pic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pict>
        <v:shape id="文本框 1026"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Bn0BR3ugEAAFcDAAAOAAAAAAAAAAEAIAAAAB4BAABkcnMvZTJvRG9jLnhtbFBLBQYAAAAABgAG&#10;AFkBAABKBQAAAAA=&#10;">
          <v:path/>
          <v:fill on="f" focussize="0,0"/>
          <v:stroke on="f" joinstyle="miter"/>
          <v:imagedata o:title=""/>
          <o:lock v:ext="edit"/>
          <v:textbox inset="0mm,0mm,0mm,0mm" style="mso-fit-shape-to-text:t;">
            <w:txbxContent>
              <w:sdt>
                <w:sdtPr>
                  <w:id w:val="24178545"/>
                </w:sdtPr>
                <w:sdtContent>
                  <w:p>
                    <w:pPr>
                      <w:pStyle w:val="12"/>
                      <w:jc w:val="center"/>
                    </w:pPr>
                    <w:r>
                      <w:fldChar w:fldCharType="begin"/>
                    </w:r>
                    <w:r>
                      <w:instrText xml:space="preserve"> PAGE   \* MERGEFORMAT </w:instrText>
                    </w:r>
                    <w:r>
                      <w:fldChar w:fldCharType="separate"/>
                    </w:r>
                    <w:r>
                      <w:rPr>
                        <w:lang w:val="zh-CN"/>
                      </w:rPr>
                      <w:t>5</w:t>
                    </w:r>
                    <w:r>
                      <w:rPr>
                        <w:lang w:val="zh-CN"/>
                      </w:rPr>
                      <w:fldChar w:fldCharType="end"/>
                    </w:r>
                  </w:p>
                </w:sdtContent>
              </w:sdt>
              <w:p/>
            </w:txbxContent>
          </v:textbox>
        </v:shape>
      </w:pic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rPr>
      <w:t>福建省沿海防护林体系建设工程规划（2016~2025年）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00A92"/>
    <w:rsid w:val="00003414"/>
    <w:rsid w:val="00011B8E"/>
    <w:rsid w:val="00023B79"/>
    <w:rsid w:val="000252EF"/>
    <w:rsid w:val="00056159"/>
    <w:rsid w:val="00067880"/>
    <w:rsid w:val="00080FD8"/>
    <w:rsid w:val="0008483D"/>
    <w:rsid w:val="00096797"/>
    <w:rsid w:val="000B1199"/>
    <w:rsid w:val="000E0E42"/>
    <w:rsid w:val="000E1F75"/>
    <w:rsid w:val="000F3257"/>
    <w:rsid w:val="000F5328"/>
    <w:rsid w:val="000F7932"/>
    <w:rsid w:val="0010681A"/>
    <w:rsid w:val="00111FD9"/>
    <w:rsid w:val="00113EE3"/>
    <w:rsid w:val="001155C3"/>
    <w:rsid w:val="00125631"/>
    <w:rsid w:val="00133BBF"/>
    <w:rsid w:val="00145CDE"/>
    <w:rsid w:val="0015235F"/>
    <w:rsid w:val="001563FC"/>
    <w:rsid w:val="00167124"/>
    <w:rsid w:val="00173271"/>
    <w:rsid w:val="00190806"/>
    <w:rsid w:val="001C0B12"/>
    <w:rsid w:val="001C7342"/>
    <w:rsid w:val="001E71F5"/>
    <w:rsid w:val="001F2166"/>
    <w:rsid w:val="001F735C"/>
    <w:rsid w:val="0020640F"/>
    <w:rsid w:val="00207981"/>
    <w:rsid w:val="00214746"/>
    <w:rsid w:val="00224061"/>
    <w:rsid w:val="002300AE"/>
    <w:rsid w:val="00234335"/>
    <w:rsid w:val="00253B35"/>
    <w:rsid w:val="00286A4F"/>
    <w:rsid w:val="0029041C"/>
    <w:rsid w:val="002A23A6"/>
    <w:rsid w:val="002A3996"/>
    <w:rsid w:val="002A48CD"/>
    <w:rsid w:val="002B3994"/>
    <w:rsid w:val="002B5760"/>
    <w:rsid w:val="002E01E0"/>
    <w:rsid w:val="002F2FAC"/>
    <w:rsid w:val="002F3836"/>
    <w:rsid w:val="00303C9E"/>
    <w:rsid w:val="00335B46"/>
    <w:rsid w:val="003440DE"/>
    <w:rsid w:val="003530ED"/>
    <w:rsid w:val="00357624"/>
    <w:rsid w:val="0036214C"/>
    <w:rsid w:val="00362B68"/>
    <w:rsid w:val="0036563F"/>
    <w:rsid w:val="00384DE9"/>
    <w:rsid w:val="0039250A"/>
    <w:rsid w:val="00394B8D"/>
    <w:rsid w:val="003C3C26"/>
    <w:rsid w:val="003C4D0F"/>
    <w:rsid w:val="003C6214"/>
    <w:rsid w:val="003D43BC"/>
    <w:rsid w:val="003D7737"/>
    <w:rsid w:val="003F18E5"/>
    <w:rsid w:val="003F26DC"/>
    <w:rsid w:val="00402822"/>
    <w:rsid w:val="0041613A"/>
    <w:rsid w:val="00427409"/>
    <w:rsid w:val="00432201"/>
    <w:rsid w:val="00440ABE"/>
    <w:rsid w:val="00445826"/>
    <w:rsid w:val="00454EF8"/>
    <w:rsid w:val="004567EE"/>
    <w:rsid w:val="00472FF4"/>
    <w:rsid w:val="00476E66"/>
    <w:rsid w:val="00477054"/>
    <w:rsid w:val="004D0C0C"/>
    <w:rsid w:val="004D520A"/>
    <w:rsid w:val="004D6C5A"/>
    <w:rsid w:val="004E1988"/>
    <w:rsid w:val="004E4B5E"/>
    <w:rsid w:val="004E6F4C"/>
    <w:rsid w:val="004F050C"/>
    <w:rsid w:val="00536796"/>
    <w:rsid w:val="005436EE"/>
    <w:rsid w:val="00554EC6"/>
    <w:rsid w:val="00561185"/>
    <w:rsid w:val="0058168B"/>
    <w:rsid w:val="005942D5"/>
    <w:rsid w:val="00594F5E"/>
    <w:rsid w:val="005A3739"/>
    <w:rsid w:val="005B3201"/>
    <w:rsid w:val="005B4A67"/>
    <w:rsid w:val="005B7D96"/>
    <w:rsid w:val="005C6616"/>
    <w:rsid w:val="005D03B3"/>
    <w:rsid w:val="005E63BC"/>
    <w:rsid w:val="005F37FB"/>
    <w:rsid w:val="005F48FB"/>
    <w:rsid w:val="005F5955"/>
    <w:rsid w:val="006003CE"/>
    <w:rsid w:val="00616BE8"/>
    <w:rsid w:val="006224CB"/>
    <w:rsid w:val="006265C8"/>
    <w:rsid w:val="00637077"/>
    <w:rsid w:val="006459DB"/>
    <w:rsid w:val="00651B3E"/>
    <w:rsid w:val="00656A51"/>
    <w:rsid w:val="006639B9"/>
    <w:rsid w:val="006B1C62"/>
    <w:rsid w:val="006C694F"/>
    <w:rsid w:val="006D3FCF"/>
    <w:rsid w:val="006F42EB"/>
    <w:rsid w:val="007024AF"/>
    <w:rsid w:val="00702898"/>
    <w:rsid w:val="007051C4"/>
    <w:rsid w:val="00717F1C"/>
    <w:rsid w:val="007305C0"/>
    <w:rsid w:val="007343BB"/>
    <w:rsid w:val="007456AA"/>
    <w:rsid w:val="00763FC1"/>
    <w:rsid w:val="00775E40"/>
    <w:rsid w:val="00781A13"/>
    <w:rsid w:val="00784D3D"/>
    <w:rsid w:val="00786E83"/>
    <w:rsid w:val="007A7889"/>
    <w:rsid w:val="007A7DA6"/>
    <w:rsid w:val="007C6E31"/>
    <w:rsid w:val="007D21A5"/>
    <w:rsid w:val="007E1D13"/>
    <w:rsid w:val="007E2AF9"/>
    <w:rsid w:val="00812D5D"/>
    <w:rsid w:val="00817893"/>
    <w:rsid w:val="00837C60"/>
    <w:rsid w:val="00863432"/>
    <w:rsid w:val="008667FD"/>
    <w:rsid w:val="008672C2"/>
    <w:rsid w:val="00873C75"/>
    <w:rsid w:val="00877B9E"/>
    <w:rsid w:val="0088167D"/>
    <w:rsid w:val="00885B9A"/>
    <w:rsid w:val="00887E35"/>
    <w:rsid w:val="00890BA5"/>
    <w:rsid w:val="008933FE"/>
    <w:rsid w:val="0089355C"/>
    <w:rsid w:val="008A4C27"/>
    <w:rsid w:val="008B60F9"/>
    <w:rsid w:val="008B6690"/>
    <w:rsid w:val="008D06CA"/>
    <w:rsid w:val="008D3F73"/>
    <w:rsid w:val="008D78EF"/>
    <w:rsid w:val="008E2D25"/>
    <w:rsid w:val="008F4A9C"/>
    <w:rsid w:val="008F6616"/>
    <w:rsid w:val="00916308"/>
    <w:rsid w:val="009344A4"/>
    <w:rsid w:val="00936CC5"/>
    <w:rsid w:val="009500CA"/>
    <w:rsid w:val="0096358C"/>
    <w:rsid w:val="00967B35"/>
    <w:rsid w:val="009A04B3"/>
    <w:rsid w:val="009A20E3"/>
    <w:rsid w:val="009C20B2"/>
    <w:rsid w:val="009C4CCE"/>
    <w:rsid w:val="009E14FE"/>
    <w:rsid w:val="009E1865"/>
    <w:rsid w:val="009F179A"/>
    <w:rsid w:val="009F4712"/>
    <w:rsid w:val="00A00A92"/>
    <w:rsid w:val="00A05C1C"/>
    <w:rsid w:val="00A06B61"/>
    <w:rsid w:val="00A1052A"/>
    <w:rsid w:val="00A14BA0"/>
    <w:rsid w:val="00A228C7"/>
    <w:rsid w:val="00A52A5F"/>
    <w:rsid w:val="00A66780"/>
    <w:rsid w:val="00A7763D"/>
    <w:rsid w:val="00A80104"/>
    <w:rsid w:val="00A80D52"/>
    <w:rsid w:val="00A84252"/>
    <w:rsid w:val="00A9208F"/>
    <w:rsid w:val="00AB1C7F"/>
    <w:rsid w:val="00AB2FB7"/>
    <w:rsid w:val="00AB30A5"/>
    <w:rsid w:val="00AB4022"/>
    <w:rsid w:val="00AB7567"/>
    <w:rsid w:val="00AC4581"/>
    <w:rsid w:val="00AC70AF"/>
    <w:rsid w:val="00AF0715"/>
    <w:rsid w:val="00AF1A31"/>
    <w:rsid w:val="00B027C2"/>
    <w:rsid w:val="00B17DA1"/>
    <w:rsid w:val="00B31EC1"/>
    <w:rsid w:val="00B51F29"/>
    <w:rsid w:val="00B629CA"/>
    <w:rsid w:val="00B810E4"/>
    <w:rsid w:val="00B82D28"/>
    <w:rsid w:val="00B9003F"/>
    <w:rsid w:val="00B947A4"/>
    <w:rsid w:val="00BA224C"/>
    <w:rsid w:val="00BA5A1A"/>
    <w:rsid w:val="00BC201B"/>
    <w:rsid w:val="00C15D23"/>
    <w:rsid w:val="00C25CD7"/>
    <w:rsid w:val="00C37B85"/>
    <w:rsid w:val="00C41E97"/>
    <w:rsid w:val="00C529A4"/>
    <w:rsid w:val="00C53FFF"/>
    <w:rsid w:val="00C5432B"/>
    <w:rsid w:val="00C80997"/>
    <w:rsid w:val="00C82ED8"/>
    <w:rsid w:val="00C861CD"/>
    <w:rsid w:val="00CA04FF"/>
    <w:rsid w:val="00CA751C"/>
    <w:rsid w:val="00CB45CF"/>
    <w:rsid w:val="00CE0654"/>
    <w:rsid w:val="00CF25FF"/>
    <w:rsid w:val="00D21B75"/>
    <w:rsid w:val="00D30733"/>
    <w:rsid w:val="00D454E9"/>
    <w:rsid w:val="00D50F04"/>
    <w:rsid w:val="00D526C1"/>
    <w:rsid w:val="00D539CE"/>
    <w:rsid w:val="00D57CF2"/>
    <w:rsid w:val="00D615A7"/>
    <w:rsid w:val="00D63159"/>
    <w:rsid w:val="00D64B49"/>
    <w:rsid w:val="00D70F2D"/>
    <w:rsid w:val="00D7125B"/>
    <w:rsid w:val="00D73451"/>
    <w:rsid w:val="00D86E94"/>
    <w:rsid w:val="00D90F7B"/>
    <w:rsid w:val="00D93121"/>
    <w:rsid w:val="00DC2181"/>
    <w:rsid w:val="00DD4496"/>
    <w:rsid w:val="00DE0C32"/>
    <w:rsid w:val="00DE6366"/>
    <w:rsid w:val="00DE6BCB"/>
    <w:rsid w:val="00DE770D"/>
    <w:rsid w:val="00DF22CB"/>
    <w:rsid w:val="00E04979"/>
    <w:rsid w:val="00E1473D"/>
    <w:rsid w:val="00E22C52"/>
    <w:rsid w:val="00E50DD0"/>
    <w:rsid w:val="00E5139A"/>
    <w:rsid w:val="00E518EB"/>
    <w:rsid w:val="00E53E1F"/>
    <w:rsid w:val="00E563C0"/>
    <w:rsid w:val="00E6512C"/>
    <w:rsid w:val="00E84D18"/>
    <w:rsid w:val="00E92AA9"/>
    <w:rsid w:val="00EB5193"/>
    <w:rsid w:val="00EC10A6"/>
    <w:rsid w:val="00EE2C89"/>
    <w:rsid w:val="00EE7621"/>
    <w:rsid w:val="00EF0013"/>
    <w:rsid w:val="00EF1F34"/>
    <w:rsid w:val="00EF43D8"/>
    <w:rsid w:val="00EF4885"/>
    <w:rsid w:val="00F16CE8"/>
    <w:rsid w:val="00F1794A"/>
    <w:rsid w:val="00F27CD4"/>
    <w:rsid w:val="00F423A2"/>
    <w:rsid w:val="00F46BA8"/>
    <w:rsid w:val="00F505AA"/>
    <w:rsid w:val="00F550C1"/>
    <w:rsid w:val="00F6560E"/>
    <w:rsid w:val="00F877B1"/>
    <w:rsid w:val="00F9471D"/>
    <w:rsid w:val="00FA3F51"/>
    <w:rsid w:val="00FA52D1"/>
    <w:rsid w:val="00FD0FE4"/>
    <w:rsid w:val="00FE3521"/>
    <w:rsid w:val="00FE5D08"/>
    <w:rsid w:val="00FF6A64"/>
    <w:rsid w:val="019F7BC8"/>
    <w:rsid w:val="022336BE"/>
    <w:rsid w:val="022D0EFA"/>
    <w:rsid w:val="02827C05"/>
    <w:rsid w:val="02A60A44"/>
    <w:rsid w:val="039543FB"/>
    <w:rsid w:val="04174675"/>
    <w:rsid w:val="048A0FA9"/>
    <w:rsid w:val="04A07C63"/>
    <w:rsid w:val="04C04C64"/>
    <w:rsid w:val="057111CC"/>
    <w:rsid w:val="05D63FF3"/>
    <w:rsid w:val="065029DD"/>
    <w:rsid w:val="074C612C"/>
    <w:rsid w:val="07AE0586"/>
    <w:rsid w:val="07DE2A4C"/>
    <w:rsid w:val="085F767C"/>
    <w:rsid w:val="08DB2A3B"/>
    <w:rsid w:val="09517080"/>
    <w:rsid w:val="098F0770"/>
    <w:rsid w:val="0A0D0074"/>
    <w:rsid w:val="0B0817E1"/>
    <w:rsid w:val="0B94173A"/>
    <w:rsid w:val="0B982298"/>
    <w:rsid w:val="0BD645DA"/>
    <w:rsid w:val="0C03774C"/>
    <w:rsid w:val="0C2A6A26"/>
    <w:rsid w:val="0C520481"/>
    <w:rsid w:val="0C8C3355"/>
    <w:rsid w:val="0D6F7713"/>
    <w:rsid w:val="0D8A54B0"/>
    <w:rsid w:val="0DDF6FDF"/>
    <w:rsid w:val="10831E81"/>
    <w:rsid w:val="110D1F1E"/>
    <w:rsid w:val="11916ED6"/>
    <w:rsid w:val="11FC4566"/>
    <w:rsid w:val="127B511D"/>
    <w:rsid w:val="129828E4"/>
    <w:rsid w:val="12CE2B4D"/>
    <w:rsid w:val="131A11E0"/>
    <w:rsid w:val="13336E4D"/>
    <w:rsid w:val="13AC0DA1"/>
    <w:rsid w:val="13C6252A"/>
    <w:rsid w:val="141C39CC"/>
    <w:rsid w:val="14A66FCB"/>
    <w:rsid w:val="15130F3D"/>
    <w:rsid w:val="15B9086E"/>
    <w:rsid w:val="169D05D4"/>
    <w:rsid w:val="16B86F58"/>
    <w:rsid w:val="17375123"/>
    <w:rsid w:val="177C68E2"/>
    <w:rsid w:val="17900FC1"/>
    <w:rsid w:val="1798557E"/>
    <w:rsid w:val="17BB45A1"/>
    <w:rsid w:val="17FB6208"/>
    <w:rsid w:val="18D26334"/>
    <w:rsid w:val="19447BF1"/>
    <w:rsid w:val="1B3D45BB"/>
    <w:rsid w:val="1B605D06"/>
    <w:rsid w:val="1BAB6B29"/>
    <w:rsid w:val="1BF72910"/>
    <w:rsid w:val="1C624754"/>
    <w:rsid w:val="1DDA5648"/>
    <w:rsid w:val="1E8E4FC5"/>
    <w:rsid w:val="1F970D76"/>
    <w:rsid w:val="1FC56A62"/>
    <w:rsid w:val="1FF363E2"/>
    <w:rsid w:val="20143243"/>
    <w:rsid w:val="20BD2AC9"/>
    <w:rsid w:val="20DB762D"/>
    <w:rsid w:val="20FE6515"/>
    <w:rsid w:val="21352F98"/>
    <w:rsid w:val="21767947"/>
    <w:rsid w:val="21BC0506"/>
    <w:rsid w:val="21C46A59"/>
    <w:rsid w:val="21F478C1"/>
    <w:rsid w:val="2203411A"/>
    <w:rsid w:val="220A1ED0"/>
    <w:rsid w:val="2279503C"/>
    <w:rsid w:val="22BE06DF"/>
    <w:rsid w:val="234D499F"/>
    <w:rsid w:val="24C57B4A"/>
    <w:rsid w:val="250273FD"/>
    <w:rsid w:val="25B7582F"/>
    <w:rsid w:val="26356F2B"/>
    <w:rsid w:val="27933DA4"/>
    <w:rsid w:val="289974D3"/>
    <w:rsid w:val="28A05904"/>
    <w:rsid w:val="28E84C8C"/>
    <w:rsid w:val="28E9102E"/>
    <w:rsid w:val="297D7986"/>
    <w:rsid w:val="29A00139"/>
    <w:rsid w:val="29B62C55"/>
    <w:rsid w:val="29CE70C5"/>
    <w:rsid w:val="2A5D3471"/>
    <w:rsid w:val="2A8C13B9"/>
    <w:rsid w:val="2A937FA1"/>
    <w:rsid w:val="2AEF0715"/>
    <w:rsid w:val="2B4B19EF"/>
    <w:rsid w:val="2B535083"/>
    <w:rsid w:val="2B603E39"/>
    <w:rsid w:val="2BB515C2"/>
    <w:rsid w:val="2BC07200"/>
    <w:rsid w:val="2C1A7A22"/>
    <w:rsid w:val="2C441685"/>
    <w:rsid w:val="2C455A16"/>
    <w:rsid w:val="2CC71D50"/>
    <w:rsid w:val="2CE0063E"/>
    <w:rsid w:val="2CFB6605"/>
    <w:rsid w:val="2D0E4DB5"/>
    <w:rsid w:val="2D7C0AE1"/>
    <w:rsid w:val="2E1238B2"/>
    <w:rsid w:val="2E956C77"/>
    <w:rsid w:val="2EA1626C"/>
    <w:rsid w:val="2EB00005"/>
    <w:rsid w:val="30274A81"/>
    <w:rsid w:val="302B4BAB"/>
    <w:rsid w:val="30307433"/>
    <w:rsid w:val="30C34A8E"/>
    <w:rsid w:val="30C948DF"/>
    <w:rsid w:val="30D2481A"/>
    <w:rsid w:val="31062307"/>
    <w:rsid w:val="324F0159"/>
    <w:rsid w:val="3327356E"/>
    <w:rsid w:val="332B5DD2"/>
    <w:rsid w:val="335A7578"/>
    <w:rsid w:val="343A7A86"/>
    <w:rsid w:val="34754058"/>
    <w:rsid w:val="349D2324"/>
    <w:rsid w:val="35237F79"/>
    <w:rsid w:val="353533F2"/>
    <w:rsid w:val="358F4E80"/>
    <w:rsid w:val="35CD1063"/>
    <w:rsid w:val="3601682B"/>
    <w:rsid w:val="36242457"/>
    <w:rsid w:val="365D3F4C"/>
    <w:rsid w:val="37765945"/>
    <w:rsid w:val="378F2CC1"/>
    <w:rsid w:val="37DA56FE"/>
    <w:rsid w:val="38D115A2"/>
    <w:rsid w:val="396B77F2"/>
    <w:rsid w:val="3A134F2E"/>
    <w:rsid w:val="3A4030BF"/>
    <w:rsid w:val="3AEA3594"/>
    <w:rsid w:val="3B316CAC"/>
    <w:rsid w:val="3BA11FA4"/>
    <w:rsid w:val="3C1F564F"/>
    <w:rsid w:val="3C4C5214"/>
    <w:rsid w:val="3C9B7CA0"/>
    <w:rsid w:val="3CDA7560"/>
    <w:rsid w:val="3D7C4E69"/>
    <w:rsid w:val="3E01647D"/>
    <w:rsid w:val="3E7F4F09"/>
    <w:rsid w:val="3F0135C6"/>
    <w:rsid w:val="3F087405"/>
    <w:rsid w:val="3F2B33D5"/>
    <w:rsid w:val="3F332CB8"/>
    <w:rsid w:val="3F73097D"/>
    <w:rsid w:val="3FC5278B"/>
    <w:rsid w:val="40051F4E"/>
    <w:rsid w:val="403B58D9"/>
    <w:rsid w:val="407B5F5B"/>
    <w:rsid w:val="40F10484"/>
    <w:rsid w:val="43541A60"/>
    <w:rsid w:val="44EA16CF"/>
    <w:rsid w:val="44F03D3A"/>
    <w:rsid w:val="44F71EA9"/>
    <w:rsid w:val="460B152C"/>
    <w:rsid w:val="464845DF"/>
    <w:rsid w:val="46B14F17"/>
    <w:rsid w:val="47543772"/>
    <w:rsid w:val="488B1318"/>
    <w:rsid w:val="48EF6669"/>
    <w:rsid w:val="49090297"/>
    <w:rsid w:val="4A974CE0"/>
    <w:rsid w:val="4B3B7205"/>
    <w:rsid w:val="4CB66271"/>
    <w:rsid w:val="4CC513F7"/>
    <w:rsid w:val="4CC66B9E"/>
    <w:rsid w:val="4CEC1072"/>
    <w:rsid w:val="4DA61500"/>
    <w:rsid w:val="4DE0555B"/>
    <w:rsid w:val="4E332056"/>
    <w:rsid w:val="4E901D4E"/>
    <w:rsid w:val="4EED33D5"/>
    <w:rsid w:val="4F1B3965"/>
    <w:rsid w:val="4F757D16"/>
    <w:rsid w:val="4F93238A"/>
    <w:rsid w:val="503F59BE"/>
    <w:rsid w:val="50DE1FF4"/>
    <w:rsid w:val="51173F14"/>
    <w:rsid w:val="522B7011"/>
    <w:rsid w:val="532659EF"/>
    <w:rsid w:val="541319CC"/>
    <w:rsid w:val="543D0795"/>
    <w:rsid w:val="554B69CB"/>
    <w:rsid w:val="555C4A84"/>
    <w:rsid w:val="55B81BAF"/>
    <w:rsid w:val="55DA68B6"/>
    <w:rsid w:val="563D5CE3"/>
    <w:rsid w:val="56A169FE"/>
    <w:rsid w:val="57144B8E"/>
    <w:rsid w:val="59664C1D"/>
    <w:rsid w:val="59D01999"/>
    <w:rsid w:val="5A5F09E2"/>
    <w:rsid w:val="5A7A3A0E"/>
    <w:rsid w:val="5AF43AE6"/>
    <w:rsid w:val="5BE14917"/>
    <w:rsid w:val="5BE65302"/>
    <w:rsid w:val="5C0C67C2"/>
    <w:rsid w:val="5CBA79DB"/>
    <w:rsid w:val="5CC30536"/>
    <w:rsid w:val="5DC830EE"/>
    <w:rsid w:val="5DEE275F"/>
    <w:rsid w:val="5EE32B1F"/>
    <w:rsid w:val="5EFE3E88"/>
    <w:rsid w:val="5F6F12FF"/>
    <w:rsid w:val="5F7A7222"/>
    <w:rsid w:val="5FFC6E6A"/>
    <w:rsid w:val="600D6094"/>
    <w:rsid w:val="60127ECE"/>
    <w:rsid w:val="60765B64"/>
    <w:rsid w:val="609221DF"/>
    <w:rsid w:val="60DB7450"/>
    <w:rsid w:val="60DC3514"/>
    <w:rsid w:val="60DF6679"/>
    <w:rsid w:val="60E84931"/>
    <w:rsid w:val="61D37034"/>
    <w:rsid w:val="61FB180A"/>
    <w:rsid w:val="62AE6ECD"/>
    <w:rsid w:val="62D60824"/>
    <w:rsid w:val="64257C6C"/>
    <w:rsid w:val="64F3107B"/>
    <w:rsid w:val="652D07AB"/>
    <w:rsid w:val="653E15B6"/>
    <w:rsid w:val="653E6B8A"/>
    <w:rsid w:val="66EB2A99"/>
    <w:rsid w:val="69284267"/>
    <w:rsid w:val="69DB0AAB"/>
    <w:rsid w:val="6AF7374A"/>
    <w:rsid w:val="6B592748"/>
    <w:rsid w:val="6BB8369A"/>
    <w:rsid w:val="6C6F0E03"/>
    <w:rsid w:val="6C750780"/>
    <w:rsid w:val="6CA2349E"/>
    <w:rsid w:val="6DD0290C"/>
    <w:rsid w:val="6E074687"/>
    <w:rsid w:val="6E4623F2"/>
    <w:rsid w:val="6EAB167D"/>
    <w:rsid w:val="6EB005EB"/>
    <w:rsid w:val="6F571100"/>
    <w:rsid w:val="708E689D"/>
    <w:rsid w:val="70E57A23"/>
    <w:rsid w:val="70FB14B2"/>
    <w:rsid w:val="71D65A46"/>
    <w:rsid w:val="71E41B1F"/>
    <w:rsid w:val="723910B2"/>
    <w:rsid w:val="72AA0403"/>
    <w:rsid w:val="72F108C7"/>
    <w:rsid w:val="73087B16"/>
    <w:rsid w:val="750D7775"/>
    <w:rsid w:val="7619287F"/>
    <w:rsid w:val="76561749"/>
    <w:rsid w:val="76AD1F3E"/>
    <w:rsid w:val="76FA72E8"/>
    <w:rsid w:val="770E2692"/>
    <w:rsid w:val="777840F7"/>
    <w:rsid w:val="78447908"/>
    <w:rsid w:val="785978EC"/>
    <w:rsid w:val="787943B7"/>
    <w:rsid w:val="78FF7B3C"/>
    <w:rsid w:val="790C16C4"/>
    <w:rsid w:val="79423BF2"/>
    <w:rsid w:val="797A1A42"/>
    <w:rsid w:val="79D65B91"/>
    <w:rsid w:val="7A1700CD"/>
    <w:rsid w:val="7ABA2320"/>
    <w:rsid w:val="7AD60FEB"/>
    <w:rsid w:val="7AF618A5"/>
    <w:rsid w:val="7B6A476A"/>
    <w:rsid w:val="7BD311BF"/>
    <w:rsid w:val="7BDF6E31"/>
    <w:rsid w:val="7C514B85"/>
    <w:rsid w:val="7CC16E8D"/>
    <w:rsid w:val="7CE527F8"/>
    <w:rsid w:val="7CF365CA"/>
    <w:rsid w:val="7E1B4DC5"/>
    <w:rsid w:val="7F596B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3"/>
    <w:link w:val="20"/>
    <w:qFormat/>
    <w:uiPriority w:val="9"/>
    <w:pPr>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styleId="7">
    <w:name w:val="Document Map"/>
    <w:basedOn w:val="1"/>
    <w:link w:val="26"/>
    <w:semiHidden/>
    <w:unhideWhenUsed/>
    <w:qFormat/>
    <w:uiPriority w:val="99"/>
    <w:rPr>
      <w:rFonts w:ascii="宋体" w:eastAsia="宋体"/>
      <w:sz w:val="18"/>
      <w:szCs w:val="18"/>
    </w:rPr>
  </w:style>
  <w:style w:type="paragraph" w:styleId="8">
    <w:name w:val="Body Text Indent"/>
    <w:basedOn w:val="1"/>
    <w:qFormat/>
    <w:uiPriority w:val="0"/>
    <w:pPr>
      <w:ind w:firstLine="592" w:firstLineChars="200"/>
    </w:pPr>
    <w:rPr>
      <w:rFonts w:eastAsia="仿宋_GB2312"/>
      <w:spacing w:val="8"/>
      <w:sz w:val="28"/>
    </w:rPr>
  </w:style>
  <w:style w:type="paragraph" w:styleId="9">
    <w:name w:val="toc 3"/>
    <w:basedOn w:val="1"/>
    <w:next w:val="1"/>
    <w:unhideWhenUsed/>
    <w:qFormat/>
    <w:uiPriority w:val="39"/>
    <w:pPr>
      <w:ind w:left="840" w:leftChars="400"/>
    </w:pPr>
  </w:style>
  <w:style w:type="paragraph" w:styleId="10">
    <w:name w:val="Body Text Indent 2"/>
    <w:basedOn w:val="1"/>
    <w:qFormat/>
    <w:uiPriority w:val="0"/>
    <w:pPr>
      <w:ind w:firstLine="321" w:firstLineChars="100"/>
    </w:pPr>
    <w:rPr>
      <w:rFonts w:ascii="宋体" w:hAnsi="宋体"/>
      <w:b/>
      <w:bCs/>
      <w:sz w:val="32"/>
    </w:rPr>
  </w:style>
  <w:style w:type="paragraph" w:styleId="11">
    <w:name w:val="Balloon Text"/>
    <w:basedOn w:val="1"/>
    <w:link w:val="27"/>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rPr>
      <w:rFonts w:ascii="黑体" w:hAnsi="黑体" w:eastAsia="黑体" w:cs="Times New Roman"/>
      <w:b/>
      <w:sz w:val="24"/>
      <w:szCs w:val="24"/>
    </w:rPr>
  </w:style>
  <w:style w:type="paragraph" w:styleId="15">
    <w:name w:val="toc 2"/>
    <w:basedOn w:val="1"/>
    <w:next w:val="1"/>
    <w:unhideWhenUsed/>
    <w:qFormat/>
    <w:uiPriority w:val="39"/>
    <w:pPr>
      <w:tabs>
        <w:tab w:val="right" w:leader="dot" w:pos="8296"/>
      </w:tabs>
      <w:spacing w:line="500" w:lineRule="exact"/>
      <w:ind w:left="420" w:leftChars="200"/>
    </w:pPr>
  </w:style>
  <w:style w:type="character" w:styleId="17">
    <w:name w:val="Emphasis"/>
    <w:basedOn w:val="16"/>
    <w:qFormat/>
    <w:uiPriority w:val="20"/>
    <w:rPr>
      <w:i/>
    </w:rPr>
  </w:style>
  <w:style w:type="character" w:styleId="18">
    <w:name w:val="Hyperlink"/>
    <w:basedOn w:val="16"/>
    <w:unhideWhenUsed/>
    <w:qFormat/>
    <w:uiPriority w:val="99"/>
    <w:rPr>
      <w:color w:val="0000FF" w:themeColor="hyperlink"/>
      <w:u w:val="single"/>
    </w:rPr>
  </w:style>
  <w:style w:type="character" w:customStyle="1" w:styleId="20">
    <w:name w:val="标题 1 Char"/>
    <w:basedOn w:val="16"/>
    <w:link w:val="2"/>
    <w:qFormat/>
    <w:uiPriority w:val="9"/>
    <w:rPr>
      <w:b/>
      <w:bCs/>
      <w:kern w:val="44"/>
      <w:sz w:val="44"/>
      <w:szCs w:val="44"/>
    </w:rPr>
  </w:style>
  <w:style w:type="character" w:customStyle="1" w:styleId="21">
    <w:name w:val="标题 2 Char"/>
    <w:basedOn w:val="16"/>
    <w:link w:val="4"/>
    <w:qFormat/>
    <w:uiPriority w:val="9"/>
    <w:rPr>
      <w:rFonts w:asciiTheme="majorHAnsi" w:hAnsiTheme="majorHAnsi" w:eastAsiaTheme="majorEastAsia" w:cstheme="majorBidi"/>
      <w:b/>
      <w:bCs/>
      <w:sz w:val="32"/>
      <w:szCs w:val="32"/>
    </w:rPr>
  </w:style>
  <w:style w:type="character" w:customStyle="1" w:styleId="22">
    <w:name w:val="标题 3 Char"/>
    <w:basedOn w:val="16"/>
    <w:link w:val="5"/>
    <w:qFormat/>
    <w:uiPriority w:val="9"/>
    <w:rPr>
      <w:b/>
      <w:bCs/>
      <w:sz w:val="32"/>
      <w:szCs w:val="32"/>
    </w:rPr>
  </w:style>
  <w:style w:type="character" w:customStyle="1" w:styleId="23">
    <w:name w:val="标题 4 Char"/>
    <w:basedOn w:val="16"/>
    <w:link w:val="6"/>
    <w:qFormat/>
    <w:uiPriority w:val="9"/>
    <w:rPr>
      <w:rFonts w:asciiTheme="majorHAnsi" w:hAnsiTheme="majorHAnsi" w:eastAsiaTheme="majorEastAsia" w:cstheme="majorBidi"/>
      <w:b/>
      <w:bCs/>
      <w:sz w:val="28"/>
      <w:szCs w:val="28"/>
    </w:rPr>
  </w:style>
  <w:style w:type="character" w:customStyle="1" w:styleId="24">
    <w:name w:val="页眉 Char"/>
    <w:basedOn w:val="16"/>
    <w:link w:val="13"/>
    <w:qFormat/>
    <w:uiPriority w:val="99"/>
    <w:rPr>
      <w:sz w:val="18"/>
      <w:szCs w:val="18"/>
    </w:rPr>
  </w:style>
  <w:style w:type="character" w:customStyle="1" w:styleId="25">
    <w:name w:val="页脚 Char"/>
    <w:basedOn w:val="16"/>
    <w:link w:val="12"/>
    <w:qFormat/>
    <w:uiPriority w:val="99"/>
    <w:rPr>
      <w:sz w:val="18"/>
      <w:szCs w:val="18"/>
    </w:rPr>
  </w:style>
  <w:style w:type="character" w:customStyle="1" w:styleId="26">
    <w:name w:val="文档结构图 Char"/>
    <w:basedOn w:val="16"/>
    <w:link w:val="7"/>
    <w:semiHidden/>
    <w:qFormat/>
    <w:uiPriority w:val="99"/>
    <w:rPr>
      <w:rFonts w:ascii="宋体" w:eastAsia="宋体"/>
      <w:sz w:val="18"/>
      <w:szCs w:val="18"/>
    </w:rPr>
  </w:style>
  <w:style w:type="character" w:customStyle="1" w:styleId="27">
    <w:name w:val="批注框文本 Char"/>
    <w:basedOn w:val="16"/>
    <w:link w:val="11"/>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TOC 标题1"/>
    <w:basedOn w:val="2"/>
    <w:next w:val="1"/>
    <w:semiHidden/>
    <w:unhideWhenUsed/>
    <w:qFormat/>
    <w:uiPriority w:val="39"/>
    <w:pPr>
      <w:keepNext/>
      <w:keepLines/>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0">
    <w:name w:val="font61"/>
    <w:basedOn w:val="16"/>
    <w:qFormat/>
    <w:uiPriority w:val="0"/>
    <w:rPr>
      <w:rFonts w:hint="eastAsia" w:ascii="等线" w:hAnsi="等线" w:eastAsia="等线" w:cs="等线"/>
      <w:color w:val="000000"/>
      <w:sz w:val="20"/>
      <w:szCs w:val="20"/>
      <w:u w:val="none"/>
    </w:rPr>
  </w:style>
  <w:style w:type="character" w:customStyle="1" w:styleId="31">
    <w:name w:val="font21"/>
    <w:basedOn w:val="16"/>
    <w:qFormat/>
    <w:uiPriority w:val="0"/>
    <w:rPr>
      <w:rFonts w:hint="eastAsia" w:ascii="等线" w:hAnsi="等线" w:eastAsia="等线" w:cs="等线"/>
      <w:color w:val="000000"/>
      <w:sz w:val="22"/>
      <w:szCs w:val="2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18&#24180;\20180125&#31119;&#24314;&#30465;&#27839;&#28023;&#38450;&#25252;&#26519;&#20307;&#31995;&#24314;&#35774;&#24037;&#31243;&#35268;&#21010;\20190330&#31119;&#24314;&#30465;&#27839;&#28023;&#38450;&#25252;&#26519;&#20307;&#31995;&#24314;&#35774;&#24037;&#31243;&#35268;&#21010;&#35780;&#23457;&#31295;-&#26519;&#19994;&#29579;&#24037;\20190417&#31119;&#24314;&#30465;&#27839;&#28023;&#38450;&#25252;&#26519;&#20307;&#31995;&#24314;&#35774;&#24037;&#31243;&#35268;&#21010;&#38468;&#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18&#24180;\20180125&#31119;&#24314;&#30465;&#27839;&#28023;&#38450;&#25252;&#26519;&#20307;&#31995;&#24314;&#35774;&#24037;&#31243;&#35268;&#21010;\20190330&#31119;&#24314;&#30465;&#27839;&#28023;&#38450;&#25252;&#26519;&#20307;&#31995;&#24314;&#35774;&#24037;&#31243;&#35268;&#21010;&#35780;&#23457;&#31295;-&#26519;&#19994;&#29579;&#24037;\20190417&#31119;&#24314;&#30465;&#27839;&#28023;&#38450;&#25252;&#26519;&#20307;&#31995;&#24314;&#35774;&#24037;&#31243;&#35268;&#21010;&#38468;&#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25835255582849"/>
                  <c:y val="0.0040032942810866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老化基干林带更新</a:t>
                    </a:r>
                  </a:p>
                  <a:p>
                    <a:pPr>
                      <a:defRPr lang="zh-CN" sz="900" b="0" i="0" u="none" strike="noStrike" kern="1200" baseline="0">
                        <a:solidFill>
                          <a:schemeClr val="tx1">
                            <a:lumMod val="75000"/>
                            <a:lumOff val="25000"/>
                          </a:schemeClr>
                        </a:solidFill>
                        <a:latin typeface="+mn-lt"/>
                        <a:ea typeface="+mn-ea"/>
                        <a:cs typeface="+mn-cs"/>
                      </a:defRPr>
                    </a:pPr>
                    <a:r>
                      <a:t>21.66</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279298245614035"/>
                      <c:h val="0.229560756652773"/>
                    </c:manualLayout>
                  </c15:layout>
                </c:ext>
              </c:extLst>
            </c:dLbl>
            <c:dLbl>
              <c:idx val="1"/>
              <c:layout>
                <c:manualLayout>
                  <c:x val="0.0517118053205698"/>
                  <c:y val="-0.29574864389662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灾损基干林带修复</a:t>
                    </a:r>
                  </a:p>
                  <a:p>
                    <a:pPr>
                      <a:defRPr lang="zh-CN" sz="900" b="0" i="0" u="none" strike="noStrike" kern="1200" baseline="0">
                        <a:solidFill>
                          <a:schemeClr val="tx1">
                            <a:lumMod val="75000"/>
                            <a:lumOff val="25000"/>
                          </a:schemeClr>
                        </a:solidFill>
                        <a:latin typeface="+mn-lt"/>
                        <a:ea typeface="+mn-ea"/>
                        <a:cs typeface="+mn-cs"/>
                      </a:defRPr>
                    </a:pPr>
                    <a:r>
                      <a:t>61.12</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420175438596491"/>
                      <c:h val="0.218018595703751"/>
                    </c:manualLayout>
                  </c15:layout>
                </c:ext>
              </c:extLst>
            </c:dLbl>
            <c:dLbl>
              <c:idx val="2"/>
              <c:layout>
                <c:manualLayout>
                  <c:x val="-0.113716292485586"/>
                  <c:y val="0.0463367030775698"/>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人工造林</a:t>
                    </a:r>
                  </a:p>
                  <a:p>
                    <a:pPr>
                      <a:defRPr lang="zh-CN" sz="900" b="0" i="0" u="none" strike="noStrike" kern="1200" baseline="0">
                        <a:solidFill>
                          <a:schemeClr val="tx1">
                            <a:lumMod val="75000"/>
                            <a:lumOff val="25000"/>
                          </a:schemeClr>
                        </a:solidFill>
                        <a:latin typeface="+mn-lt"/>
                        <a:ea typeface="+mn-ea"/>
                        <a:cs typeface="+mn-cs"/>
                      </a:defRPr>
                    </a:pPr>
                    <a:r>
                      <a:t>17.22</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218070175438596"/>
                      <c:h val="0.160628406540558"/>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[20190417福建省沿海防护林体系建设工程规划附表.xlsx]附表7!$AH$9:$AH$11</c:f>
              <c:strCache>
                <c:ptCount val="3"/>
                <c:pt idx="0">
                  <c:v>老化基干林带</c:v>
                </c:pt>
                <c:pt idx="1">
                  <c:v>灾损基干林带</c:v>
                </c:pt>
                <c:pt idx="2">
                  <c:v>人工造林</c:v>
                </c:pt>
              </c:strCache>
            </c:strRef>
          </c:cat>
          <c:val>
            <c:numRef>
              <c:f>[20190417福建省沿海防护林体系建设工程规划附表.xlsx]附表7!$AI$9:$AI$11</c:f>
              <c:numCache>
                <c:formatCode>General</c:formatCode>
                <c:ptCount val="3"/>
                <c:pt idx="0">
                  <c:v>21.66</c:v>
                </c:pt>
                <c:pt idx="1">
                  <c:v>61.12</c:v>
                </c:pt>
                <c:pt idx="2">
                  <c:v>17.22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70121613442612"/>
                  <c:y val="-0.00317034071663246"/>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人工造林</a:t>
                    </a:r>
                  </a:p>
                  <a:p>
                    <a:pPr>
                      <a:defRPr lang="zh-CN" sz="900" b="0" i="0" u="none" strike="noStrike" kern="1200" baseline="0">
                        <a:solidFill>
                          <a:schemeClr val="tx1">
                            <a:lumMod val="75000"/>
                            <a:lumOff val="25000"/>
                          </a:schemeClr>
                        </a:solidFill>
                        <a:latin typeface="+mn-lt"/>
                        <a:ea typeface="+mn-ea"/>
                        <a:cs typeface="+mn-cs"/>
                      </a:defRPr>
                    </a:pPr>
                    <a:r>
                      <a:t>2.31</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164570607258354"/>
                      <c:h val="0.180474283954419"/>
                    </c:manualLayout>
                  </c15:layout>
                </c:ext>
              </c:extLst>
            </c:dLbl>
            <c:dLbl>
              <c:idx val="1"/>
              <c:layout>
                <c:manualLayout>
                  <c:x val="0.0990534074217454"/>
                  <c:y val="0.173870543564005"/>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封山育林</a:t>
                    </a:r>
                  </a:p>
                  <a:p>
                    <a:pPr>
                      <a:defRPr lang="zh-CN" sz="900" b="0" i="0" u="none" strike="noStrike" kern="1200" baseline="0">
                        <a:solidFill>
                          <a:schemeClr val="tx1">
                            <a:lumMod val="75000"/>
                            <a:lumOff val="25000"/>
                          </a:schemeClr>
                        </a:solidFill>
                        <a:latin typeface="+mn-lt"/>
                        <a:ea typeface="+mn-ea"/>
                        <a:cs typeface="+mn-cs"/>
                      </a:defRPr>
                    </a:pPr>
                    <a:r>
                      <a:t>28.95</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167804527488322"/>
                      <c:h val="0.276870957807207"/>
                    </c:manualLayout>
                  </c15:layout>
                </c:ext>
              </c:extLst>
            </c:dLbl>
            <c:dLbl>
              <c:idx val="2"/>
              <c:layout>
                <c:manualLayout>
                  <c:x val="0.28296802012217"/>
                  <c:y val="-0.0739143825069295"/>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低效防护林改造</a:t>
                    </a:r>
                  </a:p>
                  <a:p>
                    <a:pPr>
                      <a:defRPr lang="zh-CN" sz="900" b="0" i="0" u="none" strike="noStrike" kern="1200" baseline="0">
                        <a:solidFill>
                          <a:schemeClr val="tx1">
                            <a:lumMod val="75000"/>
                            <a:lumOff val="25000"/>
                          </a:schemeClr>
                        </a:solidFill>
                        <a:latin typeface="+mn-lt"/>
                        <a:ea typeface="+mn-ea"/>
                        <a:cs typeface="+mn-cs"/>
                      </a:defRPr>
                    </a:pPr>
                    <a:r>
                      <a:t>68.74</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318361480416816"/>
                      <c:h val="0.195565137049584"/>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[20190417福建省沿海防护林体系建设工程规划附表.xlsx]附表7!$AH$15:$AH$17</c:f>
              <c:strCache>
                <c:ptCount val="3"/>
                <c:pt idx="0">
                  <c:v>人工造林</c:v>
                </c:pt>
                <c:pt idx="1">
                  <c:v>封山育林</c:v>
                </c:pt>
                <c:pt idx="2">
                  <c:v>低效防护林改造</c:v>
                </c:pt>
              </c:strCache>
            </c:strRef>
          </c:cat>
          <c:val>
            <c:numRef>
              <c:f>[20190417福建省沿海防护林体系建设工程规划附表.xlsx]附表7!$AI$15:$AI$17</c:f>
              <c:numCache>
                <c:formatCode>General</c:formatCode>
                <c:ptCount val="3"/>
                <c:pt idx="0">
                  <c:v>2.31</c:v>
                </c:pt>
                <c:pt idx="1">
                  <c:v>28.95</c:v>
                </c:pt>
                <c:pt idx="2">
                  <c:v>68.74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C0BEB-E428-4D77-8A73-091D67CB837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52</Pages>
  <Words>4476</Words>
  <Characters>25516</Characters>
  <Lines>212</Lines>
  <Paragraphs>59</Paragraphs>
  <TotalTime>44</TotalTime>
  <ScaleCrop>false</ScaleCrop>
  <LinksUpToDate>false</LinksUpToDate>
  <CharactersWithSpaces>29933</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2018-08-27T08:02:00Z</dcterms:created>
  <dc:creator>Administrator</dc:creator>
  <cp:lastModifiedBy>Administrator</cp:lastModifiedBy>
  <cp:lastPrinted>2019-03-12T07:15:00Z</cp:lastPrinted>
  <dcterms:modified xsi:type="dcterms:W3CDTF">2022-11-07T07:58:23Z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