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2023年林业统计调查服务采购项目</w:t>
      </w:r>
    </w:p>
    <w:p>
      <w:pPr>
        <w:pStyle w:val="null3"/>
        <w:jc w:val="center"/>
        <w:outlineLvl w:val="2"/>
      </w:pPr>
      <w:r>
        <w:rPr>
          <w:b/>
          <w:sz w:val="28"/>
        </w:rPr>
        <w:t>备案编号：</w:t>
      </w:r>
      <w:r>
        <w:rPr>
          <w:b/>
          <w:sz w:val="28"/>
        </w:rPr>
        <w:t>CGXM-2023-350001-18624[2023]12590</w:t>
      </w:r>
    </w:p>
    <w:p>
      <w:pPr>
        <w:pStyle w:val="null3"/>
        <w:jc w:val="center"/>
        <w:outlineLvl w:val="2"/>
      </w:pPr>
      <w:r>
        <w:rPr>
          <w:b/>
          <w:sz w:val="28"/>
        </w:rPr>
        <w:t>项目编号：</w:t>
      </w:r>
      <w:r>
        <w:rPr>
          <w:b/>
          <w:sz w:val="28"/>
        </w:rPr>
        <w:t>[350001]JJZB[GK]2023033</w:t>
      </w:r>
    </w:p>
    <w:p>
      <w:pPr>
        <w:pStyle w:val="null3"/>
        <w:jc w:val="center"/>
        <w:outlineLvl w:val="2"/>
      </w:pPr>
      <w:r>
        <w:rPr>
          <w:b/>
          <w:sz w:val="28"/>
        </w:rPr>
        <w:t>采购人：</w:t>
      </w:r>
      <w:r>
        <w:rPr>
          <w:b/>
          <w:sz w:val="28"/>
        </w:rPr>
        <w:t>福建省林业局</w:t>
      </w:r>
    </w:p>
    <w:p>
      <w:pPr>
        <w:pStyle w:val="null3"/>
        <w:jc w:val="center"/>
        <w:outlineLvl w:val="2"/>
      </w:pPr>
      <w:r>
        <w:rPr>
          <w:b/>
          <w:sz w:val="28"/>
        </w:rPr>
        <w:t>代理机构：</w:t>
      </w:r>
      <w:r>
        <w:rPr>
          <w:b/>
          <w:sz w:val="28"/>
        </w:rPr>
        <w:t>福建杰俊招标代理有限公司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福建杰俊招标代理有限公司</w:t>
      </w:r>
      <w:r>
        <w:rPr/>
        <w:t xml:space="preserve"> 采用公开招标方式组织 </w:t>
      </w:r>
      <w:r>
        <w:rPr/>
        <w:t>2023年林业统计调查服务采购项目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CGXM-2023-350001-18624[2023]12590</w:t>
      </w:r>
    </w:p>
    <w:p>
      <w:pPr>
        <w:pStyle w:val="null3"/>
        <w:ind w:firstLine="480"/>
        <w:jc w:val="left"/>
        <w:outlineLvl w:val="2"/>
      </w:pPr>
      <w:r>
        <w:rPr>
          <w:b/>
          <w:sz w:val="28"/>
        </w:rPr>
        <w:t>2、项目编号</w:t>
      </w:r>
      <w:r>
        <w:rPr>
          <w:b/>
          <w:sz w:val="28"/>
        </w:rPr>
        <w:t>：</w:t>
      </w:r>
      <w:r>
        <w:rPr>
          <w:b/>
          <w:sz w:val="28"/>
        </w:rPr>
        <w:t>[350001]JJZB[GK]2023033</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不适用于采购包1</w:t>
      </w:r>
    </w:p>
    <w:p>
      <w:pPr>
        <w:pStyle w:val="null3"/>
        <w:ind w:firstLine="960"/>
        <w:jc w:val="left"/>
      </w:pPr>
      <w:r>
        <w:rPr/>
        <w:t>节能产品：</w:t>
      </w:r>
      <w:r>
        <w:rPr/>
        <w:t>不适用于采购包1</w:t>
      </w:r>
    </w:p>
    <w:p>
      <w:pPr>
        <w:pStyle w:val="null3"/>
        <w:ind w:firstLine="960"/>
        <w:jc w:val="left"/>
      </w:pPr>
      <w:r>
        <w:rPr/>
        <w:t>环境标志产品：</w:t>
      </w:r>
      <w:r>
        <w:rPr/>
        <w:t>不适用于采购包1</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落实政府采购政策的证明材料（专门面向中小企业采购）</w:t>
            </w:r>
          </w:p>
        </w:tc>
        <w:tc>
          <w:tcPr>
            <w:tcW w:type="dxa" w:w="4614"/>
          </w:tcPr>
          <w:p>
            <w:pPr>
              <w:pStyle w:val="null3"/>
              <w:jc w:val="both"/>
            </w:pPr>
            <w:r>
              <w:rPr/>
              <w:t>①经采购人确认，本项目采购包1专门面向符合财政部、工信部文件（财库〔2020〕46号）规定的中、小、微企业采购。投标人须提供《中小企业声明函》（服务类）。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本采购包采购标的对应的中小企业划分标准所属行业为“其他未列明行业”。</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福建省林业局</w:t>
      </w:r>
    </w:p>
    <w:p>
      <w:pPr>
        <w:pStyle w:val="null3"/>
        <w:ind w:firstLine="960"/>
        <w:jc w:val="left"/>
      </w:pPr>
    </w:p>
    <w:p>
      <w:pPr>
        <w:pStyle w:val="null3"/>
        <w:jc w:val="left"/>
      </w:pPr>
    </w:p>
    <w:p>
      <w:pPr>
        <w:pStyle w:val="null3"/>
        <w:jc w:val="left"/>
      </w:pPr>
      <w:r>
        <w:rPr/>
        <w:t xml:space="preserve"> 地址： </w:t>
      </w:r>
      <w:r>
        <w:rPr/>
        <w:t>福建省福州市鼓楼区冶山路10号</w:t>
      </w:r>
    </w:p>
    <w:p>
      <w:pPr>
        <w:pStyle w:val="null3"/>
        <w:jc w:val="left"/>
      </w:pPr>
      <w:r>
        <w:rPr/>
        <w:t xml:space="preserve"> 邮编： </w:t>
      </w:r>
      <w:r>
        <w:rPr/>
        <w:t>350003</w:t>
      </w:r>
    </w:p>
    <w:p>
      <w:pPr>
        <w:pStyle w:val="null3"/>
        <w:jc w:val="left"/>
      </w:pPr>
      <w:r>
        <w:rPr/>
        <w:t xml:space="preserve"> 联系人： </w:t>
      </w:r>
      <w:r>
        <w:rPr/>
        <w:t>林志勇</w:t>
      </w:r>
    </w:p>
    <w:p>
      <w:pPr>
        <w:pStyle w:val="null3"/>
        <w:jc w:val="left"/>
      </w:pPr>
      <w:r>
        <w:rPr/>
        <w:t xml:space="preserve"> 联系电话： </w:t>
      </w:r>
      <w:r>
        <w:rPr/>
        <w:t>0591-88608189</w:t>
      </w:r>
    </w:p>
    <w:p>
      <w:pPr>
        <w:pStyle w:val="null3"/>
        <w:ind w:firstLine="480"/>
        <w:jc w:val="left"/>
        <w:outlineLvl w:val="2"/>
      </w:pPr>
      <w:r>
        <w:rPr>
          <w:b/>
          <w:sz w:val="28"/>
        </w:rPr>
        <w:t>12、代理机构</w:t>
      </w:r>
      <w:r>
        <w:rPr>
          <w:b/>
          <w:sz w:val="28"/>
        </w:rPr>
        <w:t>：</w:t>
      </w:r>
      <w:r>
        <w:rPr>
          <w:b/>
          <w:sz w:val="28"/>
        </w:rPr>
        <w:t>福建杰俊招标代理有限公司</w:t>
      </w:r>
    </w:p>
    <w:p>
      <w:pPr>
        <w:pStyle w:val="null3"/>
        <w:ind w:firstLine="960"/>
        <w:jc w:val="both"/>
      </w:pPr>
    </w:p>
    <w:p>
      <w:pPr>
        <w:pStyle w:val="null3"/>
        <w:jc w:val="both"/>
      </w:pPr>
    </w:p>
    <w:p>
      <w:pPr>
        <w:pStyle w:val="null3"/>
        <w:jc w:val="both"/>
      </w:pPr>
      <w:r>
        <w:rPr/>
        <w:t xml:space="preserve"> 地址： </w:t>
      </w:r>
      <w:r>
        <w:rPr/>
        <w:t>福建省福州市鼓楼区西洪路528号15号楼303单元</w:t>
      </w:r>
    </w:p>
    <w:p>
      <w:pPr>
        <w:pStyle w:val="null3"/>
        <w:jc w:val="both"/>
      </w:pPr>
      <w:r>
        <w:rPr/>
        <w:t xml:space="preserve"> 邮编： </w:t>
      </w:r>
      <w:r>
        <w:rPr/>
        <w:t>350025</w:t>
      </w:r>
    </w:p>
    <w:p>
      <w:pPr>
        <w:pStyle w:val="null3"/>
        <w:jc w:val="both"/>
      </w:pPr>
      <w:r>
        <w:rPr/>
        <w:t xml:space="preserve"> 联系人： </w:t>
      </w:r>
      <w:r>
        <w:rPr/>
        <w:t>蒋丽、杨俊</w:t>
      </w:r>
    </w:p>
    <w:p>
      <w:pPr>
        <w:pStyle w:val="null3"/>
        <w:jc w:val="both"/>
      </w:pPr>
      <w:r>
        <w:rPr/>
        <w:t xml:space="preserve"> 联系电话： </w:t>
      </w:r>
      <w:r>
        <w:rPr/>
        <w:t>0591-87279932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福建杰俊招标代理有限公司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400,000.00</w:t>
      </w:r>
    </w:p>
    <w:p>
      <w:pPr>
        <w:pStyle w:val="null3"/>
        <w:jc w:val="left"/>
      </w:pPr>
      <w:r>
        <w:rPr/>
        <w:t>采购包最高限价（元）: 400,000.00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2023年林业统计调查服务</w:t>
            </w:r>
          </w:p>
        </w:tc>
        <w:tc>
          <w:tcPr>
            <w:tcW w:type="dxa" w:w="1187"/>
          </w:tcPr>
          <w:p>
            <w:pPr>
              <w:pStyle w:val="null3"/>
              <w:jc w:val="right"/>
            </w:pPr>
            <w:r>
              <w:rPr/>
              <w:t>1.00</w:t>
            </w:r>
          </w:p>
        </w:tc>
        <w:tc>
          <w:tcPr>
            <w:tcW w:type="dxa" w:w="1187"/>
          </w:tcPr>
          <w:p>
            <w:pPr>
              <w:pStyle w:val="null3"/>
              <w:jc w:val="right"/>
            </w:pPr>
            <w:r>
              <w:rPr/>
              <w:t>400,000.00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p>
          <w:p>
            <w:pPr>
              <w:pStyle w:val="null3"/>
              <w:jc w:val="left"/>
            </w:pP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p>
          <w:p>
            <w:pPr>
              <w:pStyle w:val="null3"/>
              <w:jc w:val="left"/>
            </w:pPr>
          </w:p>
          <w:p>
            <w:pPr>
              <w:pStyle w:val="null3"/>
              <w:jc w:val="left"/>
            </w:pP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福建杰俊招标代理有限公司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代理服务费收费标准：1、本项目的招标代理服务费向中标人收取。收费标准以中标金额为准，按差额定率累进法计算取服务费，具体按以下标准计取：100(万元)以下收费费率标准: 1.50%；2、招标代理服务费缴交银行账号：开户名：福建杰俊招标代理有限公司；账号：117130100100316627；开户银行：兴业银行股份有限公司福州华林支行。</w:t>
            </w:r>
          </w:p>
          <w:p>
            <w:pPr>
              <w:pStyle w:val="null3"/>
              <w:jc w:val="left"/>
            </w:pPr>
            <w:r>
              <w:rPr/>
              <w:t xml:space="preserve"> (2)其他：</w:t>
            </w:r>
          </w:p>
          <w:p>
            <w:pPr>
              <w:pStyle w:val="null3"/>
              <w:jc w:val="left"/>
            </w:pPr>
            <w:r>
              <w:rPr/>
              <w:t>a、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b、根据《福建省财政厅关于运用政府采购政策促进中小企业发展的通知》要求，因疫情影响享受缓缴或免缴社保、税款的企业，无法提供相关社保、税收缴纳证明材料的，提供有关情况说明视同社保、税收缴纳证明材料提交完整。c、①本项目支持远程开标，投标人可通过远程线上参与开标，具体系统操作指南详见福建省政府采购网首页上相关操作手册。②本项目开标过程中解密操作时限为30分钟，远程签章操作时限为10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招标文件关于投标人串通投标情形补充条款详见《关于福建省财政厅关于电子化政府采购项目中视为串标情形认定与处理的指导意见》闽财购〔2018〕30号文件规定。</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福建杰俊招标代理有限公司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福建杰俊招标代理有限公司</w:t>
      </w:r>
      <w:r>
        <w:rPr/>
        <w:t xml:space="preserve"> 将在投标截止时间至少15个日历日前，在招标文件载明的指定媒体以更正公告的形式发布澄清或修改的内容。不足15个日历日的， </w:t>
      </w:r>
      <w:r>
        <w:rPr/>
        <w:t>福建杰俊招标代理有限公司</w:t>
      </w:r>
      <w:r>
        <w:rPr/>
        <w:t xml:space="preserve"> 将顺延投标截止时间及开标时间， </w:t>
      </w:r>
      <w:r>
        <w:rPr/>
        <w:t>福建杰俊招标代理有限公司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福建杰俊招标代理有限公司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福建杰俊招标代理有限公司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福建杰俊招标代理有限公司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福建杰俊招标代理有限公司</w:t>
      </w:r>
      <w:r>
        <w:rPr/>
        <w:t xml:space="preserve"> 可终止招标并发布终止公告。</w:t>
      </w:r>
    </w:p>
    <w:p>
      <w:pPr>
        <w:pStyle w:val="null3"/>
        <w:ind w:firstLine="480"/>
        <w:jc w:val="both"/>
      </w:pPr>
      <w:r>
        <w:rPr/>
        <w:t xml:space="preserve">8.2终止公告作为 </w:t>
      </w:r>
      <w:r>
        <w:rPr/>
        <w:t>福建杰俊招标代理有限公司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福建杰俊招标代理有限公司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福建杰俊招标代理有限公司</w:t>
      </w:r>
      <w:r>
        <w:rPr/>
        <w:t xml:space="preserve"> 可于投标有效期届满之前书面要求投标人延长投标有效期，投标人应在 </w:t>
      </w:r>
      <w:r>
        <w:rPr/>
        <w:t>福建杰俊招标代理有限公司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福建杰俊招标代理有限公司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福建杰俊招标代理有限公司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福建杰俊招标代理有限公司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福建杰俊招标代理有限公司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福建杰俊招标代理有限公司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福建杰俊招标代理有限公司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福建杰俊招标代理有限公司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福建杰俊招标代理有限公司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福建杰俊招标代理有限公司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福建杰俊招标代理有限公司</w:t>
      </w:r>
      <w:r>
        <w:rPr/>
        <w:t xml:space="preserve"> 提出询问， </w:t>
      </w:r>
      <w:r>
        <w:rPr/>
        <w:t>福建杰俊招标代理有限公司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福建杰俊招标代理有限公司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福建杰俊招标代理有限公司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由福建杰俊招标代理有限公司派出的工作人员至少1人，</w:t>
      </w:r>
      <w:r>
        <w:rPr/>
        <w:t>其余1人可为采购人代表或福建杰俊招标代理有限公司的工作人员。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①经采购人确认，本项目采购包1专门面向符合财政部、工信部文件（财库〔2020〕46号）规定的中、小、微企业采购。投标人须提供《中小企业声明函》（服务类）。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本采购包采购标的对应的中小企业划分标准所属行业为“其他未列明行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资格证明文件未在有效期内，则相应资格条件项不合格，其资格审查不合格。</w:t>
            </w:r>
          </w:p>
        </w:tc>
      </w:tr>
      <w:tr>
        <w:tc>
          <w:tcPr>
            <w:tcW w:type="dxa" w:w="4153"/>
          </w:tcPr>
          <w:p>
            <w:pPr>
              <w:pStyle w:val="null3"/>
              <w:jc w:val="left"/>
            </w:pPr>
            <w:r>
              <w:rPr/>
              <w:t>其他情形</w:t>
            </w:r>
          </w:p>
        </w:tc>
        <w:tc>
          <w:tcPr>
            <w:tcW w:type="dxa" w:w="4153"/>
          </w:tcPr>
          <w:p>
            <w:pPr>
              <w:pStyle w:val="null3"/>
              <w:jc w:val="left"/>
            </w:pPr>
            <w:r>
              <w:rPr/>
              <w:t>资格证明文件未按照招标文件规定盖章、签字的，则相应资格条件项不合格，其资格审查不合格。</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r>
        <w:tc>
          <w:tcPr>
            <w:tcW w:type="dxa" w:w="4153"/>
          </w:tcPr>
          <w:p>
            <w:pPr>
              <w:pStyle w:val="null3"/>
              <w:jc w:val="left"/>
            </w:pPr>
            <w:r>
              <w:rPr/>
              <w:t>其他情形</w:t>
            </w:r>
          </w:p>
        </w:tc>
        <w:tc>
          <w:tcPr>
            <w:tcW w:type="dxa" w:w="4153"/>
          </w:tcPr>
          <w:p>
            <w:pPr>
              <w:pStyle w:val="null3"/>
              <w:jc w:val="left"/>
            </w:pPr>
            <w:r>
              <w:rPr/>
              <w:t>资格证明材料须在其投标文件的资格及资信证明部分提供，否则可认定该相应资格条件项不合格，其资格审查不合格。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福建杰俊招标代理有限公司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福建杰俊招标代理有限公司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福建杰俊招标代理有限公司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福建杰俊招标代理有限公司</w:t>
      </w:r>
      <w:r>
        <w:rPr/>
        <w:t xml:space="preserve"> 统一对外发布。</w:t>
      </w:r>
    </w:p>
    <w:p>
      <w:pPr>
        <w:pStyle w:val="null3"/>
        <w:ind w:firstLine="480"/>
        <w:jc w:val="both"/>
      </w:pPr>
      <w:r>
        <w:rPr/>
        <w:t xml:space="preserve">②对 </w:t>
      </w:r>
      <w:r>
        <w:rPr/>
        <w:t>福建杰俊招标代理有限公司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招标文件第五章“二、技术和服务要求”中标注★条款不满足招标文件要求的按无效标处理。</w:t>
            </w:r>
          </w:p>
        </w:tc>
      </w:tr>
      <w:tr>
        <w:tc>
          <w:tcPr>
            <w:tcW w:type="dxa" w:w="4153"/>
          </w:tcPr>
          <w:p>
            <w:pPr>
              <w:pStyle w:val="null3"/>
              <w:jc w:val="left"/>
            </w:pPr>
            <w:r>
              <w:rPr/>
              <w:t>其他情形</w:t>
            </w:r>
          </w:p>
        </w:tc>
        <w:tc>
          <w:tcPr>
            <w:tcW w:type="dxa" w:w="4153"/>
          </w:tcPr>
          <w:p>
            <w:pPr>
              <w:pStyle w:val="null3"/>
              <w:jc w:val="left"/>
            </w:pPr>
            <w:r>
              <w:rPr/>
              <w:t>按照闽财购〔2010〕28号文件规定，若投标供应商的技术部分实际得分少于招标文件设定的技术部分总分50%，即视为技术部分未实质性响应招标文件要求，按无效投标处理。</w:t>
            </w:r>
          </w:p>
        </w:tc>
      </w:tr>
      <w:tr>
        <w:tc>
          <w:tcPr>
            <w:tcW w:type="dxa" w:w="4153"/>
          </w:tcPr>
          <w:p>
            <w:pPr>
              <w:pStyle w:val="null3"/>
              <w:jc w:val="left"/>
            </w:pPr>
            <w:r>
              <w:rPr/>
              <w:t>其他情形</w:t>
            </w:r>
          </w:p>
        </w:tc>
        <w:tc>
          <w:tcPr>
            <w:tcW w:type="dxa" w:w="4153"/>
          </w:tcPr>
          <w:p>
            <w:pPr>
              <w:pStyle w:val="null3"/>
              <w:jc w:val="left"/>
            </w:pPr>
            <w:r>
              <w:rPr/>
              <w:t>不符合招标文件中规定的实质性要求和条件、无效投标条款的。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招标文件第五章“三、商务要求”的内容均为不允许负偏离的实质性要求，否则其投标无效。</w:t>
            </w:r>
          </w:p>
        </w:tc>
      </w:tr>
      <w:tr>
        <w:tc>
          <w:tcPr>
            <w:tcW w:type="dxa" w:w="4153"/>
          </w:tcPr>
          <w:p>
            <w:pPr>
              <w:pStyle w:val="null3"/>
              <w:jc w:val="left"/>
            </w:pPr>
            <w:r>
              <w:rPr/>
              <w:t>其他情形</w:t>
            </w:r>
          </w:p>
        </w:tc>
        <w:tc>
          <w:tcPr>
            <w:tcW w:type="dxa" w:w="4153"/>
          </w:tcPr>
          <w:p>
            <w:pPr>
              <w:pStyle w:val="null3"/>
              <w:jc w:val="left"/>
            </w:pPr>
            <w:r>
              <w:rPr/>
              <w:t>不符合招标文件中规定的实质性要求和条件、无效投标条款的。</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福建杰俊招标代理有限公司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技术项（F2×A2）满分为72.00分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1、技术和服务要求响应情况</w:t>
            </w:r>
          </w:p>
        </w:tc>
        <w:tc>
          <w:tcPr>
            <w:tcW w:type="dxa" w:w="831"/>
          </w:tcPr>
          <w:p>
            <w:pPr>
              <w:pStyle w:val="null3"/>
              <w:jc w:val="right"/>
            </w:pPr>
            <w:r>
              <w:rPr/>
              <w:t>30.00</w:t>
            </w:r>
          </w:p>
        </w:tc>
        <w:tc>
          <w:tcPr>
            <w:tcW w:type="dxa" w:w="4153"/>
          </w:tcPr>
          <w:p>
            <w:pPr>
              <w:pStyle w:val="null3"/>
              <w:jc w:val="both"/>
            </w:pPr>
            <w:r>
              <w:rPr/>
              <w:t>1.1评委根据各投标人对招标文件第五章“二、技术和服务要求”中的各项配置要求的响应承诺情况进行评分：技术服务要求中标注“★”为必须满足项，不满足则视为无效投标；未标注“★”的技术服务要求“项号1-项号15”中的技术指标有负偏离情况的，每负偏离一项扣2分（共15项，合计30分）；扣完为止，正偏离不加分。</w:t>
            </w:r>
          </w:p>
        </w:tc>
      </w:tr>
      <w:tr>
        <w:tc>
          <w:tcPr>
            <w:tcW w:type="dxa" w:w="3322"/>
          </w:tcPr>
          <w:p>
            <w:pPr>
              <w:pStyle w:val="null3"/>
              <w:jc w:val="both"/>
            </w:pPr>
            <w:r>
              <w:rPr/>
              <w:t>2.重难点分析</w:t>
            </w:r>
          </w:p>
        </w:tc>
        <w:tc>
          <w:tcPr>
            <w:tcW w:type="dxa" w:w="831"/>
          </w:tcPr>
          <w:p>
            <w:pPr>
              <w:pStyle w:val="null3"/>
              <w:jc w:val="right"/>
            </w:pPr>
            <w:r>
              <w:rPr/>
              <w:t>3.00</w:t>
            </w:r>
          </w:p>
        </w:tc>
        <w:tc>
          <w:tcPr>
            <w:tcW w:type="dxa" w:w="4153"/>
          </w:tcPr>
          <w:p>
            <w:pPr>
              <w:pStyle w:val="null3"/>
              <w:jc w:val="both"/>
            </w:pPr>
            <w:r>
              <w:rPr/>
              <w:t>2.1根据投标人针对本项目提供的重难点分析方案（包含：调查工作实施中的重点、难点问题分析以及应对解决办法等），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3.问卷调查方案</w:t>
            </w:r>
          </w:p>
        </w:tc>
        <w:tc>
          <w:tcPr>
            <w:tcW w:type="dxa" w:w="831"/>
          </w:tcPr>
          <w:p>
            <w:pPr>
              <w:pStyle w:val="null3"/>
              <w:jc w:val="right"/>
            </w:pPr>
            <w:r>
              <w:rPr/>
              <w:t>3.00</w:t>
            </w:r>
          </w:p>
        </w:tc>
        <w:tc>
          <w:tcPr>
            <w:tcW w:type="dxa" w:w="4153"/>
          </w:tcPr>
          <w:p>
            <w:pPr>
              <w:pStyle w:val="null3"/>
              <w:jc w:val="both"/>
            </w:pPr>
            <w:r>
              <w:rPr/>
              <w:t>3.1根据投标人针对本项目提供的问卷调查方案（包含：调查时间安排、调查方式、调查内容等），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4.抽样调查方案</w:t>
            </w:r>
          </w:p>
        </w:tc>
        <w:tc>
          <w:tcPr>
            <w:tcW w:type="dxa" w:w="831"/>
          </w:tcPr>
          <w:p>
            <w:pPr>
              <w:pStyle w:val="null3"/>
              <w:jc w:val="right"/>
            </w:pPr>
            <w:r>
              <w:rPr/>
              <w:t>3.00</w:t>
            </w:r>
          </w:p>
        </w:tc>
        <w:tc>
          <w:tcPr>
            <w:tcW w:type="dxa" w:w="4153"/>
          </w:tcPr>
          <w:p>
            <w:pPr>
              <w:pStyle w:val="null3"/>
              <w:jc w:val="both"/>
            </w:pPr>
            <w:r>
              <w:rPr/>
              <w:t>4.1根据投标人针对本项目提供的抽样调查方案（包含：抽样方法、抽样对象、抽样结果等），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5.培训方案</w:t>
            </w:r>
          </w:p>
        </w:tc>
        <w:tc>
          <w:tcPr>
            <w:tcW w:type="dxa" w:w="831"/>
          </w:tcPr>
          <w:p>
            <w:pPr>
              <w:pStyle w:val="null3"/>
              <w:jc w:val="right"/>
            </w:pPr>
            <w:r>
              <w:rPr/>
              <w:t>3.00</w:t>
            </w:r>
          </w:p>
        </w:tc>
        <w:tc>
          <w:tcPr>
            <w:tcW w:type="dxa" w:w="4153"/>
          </w:tcPr>
          <w:p>
            <w:pPr>
              <w:pStyle w:val="null3"/>
              <w:jc w:val="both"/>
            </w:pPr>
            <w:r>
              <w:rPr/>
              <w:t>5.1根据投标人针对本项目提供的项目人员培训方案（包含培训计划、范围、内容、方式、考核等要素），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6.实施进度</w:t>
            </w:r>
          </w:p>
        </w:tc>
        <w:tc>
          <w:tcPr>
            <w:tcW w:type="dxa" w:w="831"/>
          </w:tcPr>
          <w:p>
            <w:pPr>
              <w:pStyle w:val="null3"/>
              <w:jc w:val="right"/>
            </w:pPr>
            <w:r>
              <w:rPr/>
              <w:t>3.00</w:t>
            </w:r>
          </w:p>
        </w:tc>
        <w:tc>
          <w:tcPr>
            <w:tcW w:type="dxa" w:w="4153"/>
          </w:tcPr>
          <w:p>
            <w:pPr>
              <w:pStyle w:val="null3"/>
              <w:jc w:val="both"/>
            </w:pPr>
            <w:r>
              <w:rPr/>
              <w:t>6.1根据投标人针对本项目提供的实施进度安排情况（包含：时间安排、各阶段工作重点及进度计划、工作流程安排、实施步骤、具体推进计划等），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7.质量保障方案</w:t>
            </w:r>
          </w:p>
        </w:tc>
        <w:tc>
          <w:tcPr>
            <w:tcW w:type="dxa" w:w="831"/>
          </w:tcPr>
          <w:p>
            <w:pPr>
              <w:pStyle w:val="null3"/>
              <w:jc w:val="right"/>
            </w:pPr>
            <w:r>
              <w:rPr/>
              <w:t>3.00</w:t>
            </w:r>
          </w:p>
        </w:tc>
        <w:tc>
          <w:tcPr>
            <w:tcW w:type="dxa" w:w="4153"/>
          </w:tcPr>
          <w:p>
            <w:pPr>
              <w:pStyle w:val="null3"/>
              <w:jc w:val="both"/>
            </w:pPr>
            <w:r>
              <w:rPr/>
              <w:t>7.1根据投标人针对本项目提供的质量保障方案（包含：调查实施、数据分析及报告撰写等关键环节和项目质量控制职责等情况），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8.分析报告撰写</w:t>
            </w:r>
          </w:p>
        </w:tc>
        <w:tc>
          <w:tcPr>
            <w:tcW w:type="dxa" w:w="831"/>
          </w:tcPr>
          <w:p>
            <w:pPr>
              <w:pStyle w:val="null3"/>
              <w:jc w:val="right"/>
            </w:pPr>
            <w:r>
              <w:rPr/>
              <w:t>3.00</w:t>
            </w:r>
          </w:p>
        </w:tc>
        <w:tc>
          <w:tcPr>
            <w:tcW w:type="dxa" w:w="4153"/>
          </w:tcPr>
          <w:p>
            <w:pPr>
              <w:pStyle w:val="null3"/>
              <w:jc w:val="both"/>
            </w:pPr>
            <w:r>
              <w:rPr/>
              <w:t>8.1根据投标人针对本项目提供的森林旅游调查分析报告撰写（包含：报告框架、报告内容等情况），由评委进行评分：内容详实、切合实际的得3分；内容部分详实或部分内容切合实际的得2分；内容阐述简短或无实质内容的得1分；其余情况不得分。</w:t>
            </w:r>
          </w:p>
        </w:tc>
      </w:tr>
      <w:tr>
        <w:tc>
          <w:tcPr>
            <w:tcW w:type="dxa" w:w="3322"/>
          </w:tcPr>
          <w:p>
            <w:pPr>
              <w:pStyle w:val="null3"/>
              <w:jc w:val="both"/>
            </w:pPr>
            <w:r>
              <w:rPr/>
              <w:t>9.管理方式</w:t>
            </w:r>
          </w:p>
        </w:tc>
        <w:tc>
          <w:tcPr>
            <w:tcW w:type="dxa" w:w="831"/>
          </w:tcPr>
          <w:p>
            <w:pPr>
              <w:pStyle w:val="null3"/>
              <w:jc w:val="right"/>
            </w:pPr>
            <w:r>
              <w:rPr/>
              <w:t>3.00</w:t>
            </w:r>
          </w:p>
        </w:tc>
        <w:tc>
          <w:tcPr>
            <w:tcW w:type="dxa" w:w="4153"/>
          </w:tcPr>
          <w:p>
            <w:pPr>
              <w:pStyle w:val="null3"/>
              <w:jc w:val="both"/>
            </w:pPr>
            <w:r>
              <w:rPr/>
              <w:t>9.1根据投标人针对本项目提供的项目管理方式(包含：内部管理机制、监管机制、信息反馈处理机制等情况)，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10.岗位职责</w:t>
            </w:r>
          </w:p>
        </w:tc>
        <w:tc>
          <w:tcPr>
            <w:tcW w:type="dxa" w:w="831"/>
          </w:tcPr>
          <w:p>
            <w:pPr>
              <w:pStyle w:val="null3"/>
              <w:jc w:val="right"/>
            </w:pPr>
            <w:r>
              <w:rPr/>
              <w:t>3.00</w:t>
            </w:r>
          </w:p>
        </w:tc>
        <w:tc>
          <w:tcPr>
            <w:tcW w:type="dxa" w:w="4153"/>
          </w:tcPr>
          <w:p>
            <w:pPr>
              <w:pStyle w:val="null3"/>
              <w:jc w:val="both"/>
            </w:pPr>
            <w:r>
              <w:rPr/>
              <w:t>10.1根据投标人针对本项目提供岗位职责方案（包含：岗位设置、人员配备情况、职责分工等），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11.项目负责人</w:t>
            </w:r>
          </w:p>
        </w:tc>
        <w:tc>
          <w:tcPr>
            <w:tcW w:type="dxa" w:w="831"/>
          </w:tcPr>
          <w:p>
            <w:pPr>
              <w:pStyle w:val="null3"/>
              <w:jc w:val="right"/>
            </w:pPr>
            <w:r>
              <w:rPr/>
              <w:t>3.00</w:t>
            </w:r>
          </w:p>
        </w:tc>
        <w:tc>
          <w:tcPr>
            <w:tcW w:type="dxa" w:w="4153"/>
          </w:tcPr>
          <w:p>
            <w:pPr>
              <w:pStyle w:val="null3"/>
              <w:jc w:val="both"/>
            </w:pPr>
            <w:r>
              <w:rPr/>
              <w:t>11.1投标人针对本项目配备的项目负责人具有高级统计师职称的得1分；具有高级经济师职称的得1分；参加过省级或以上旅游数据统计相关的专业培训的得1分。注：须提供相关职称证书复印件、培训结业证书复印件、投标截止时间前六个月（不含投标截止时间的当月）中任意一个月投标人为其缴纳社会保障资金缴纳凭据复印件，否则不得分。（满分3分）</w:t>
            </w:r>
          </w:p>
        </w:tc>
      </w:tr>
      <w:tr>
        <w:tc>
          <w:tcPr>
            <w:tcW w:type="dxa" w:w="3322"/>
          </w:tcPr>
          <w:p>
            <w:pPr>
              <w:pStyle w:val="null3"/>
              <w:jc w:val="both"/>
            </w:pPr>
            <w:r>
              <w:rPr/>
              <w:t>12.项目团队①</w:t>
            </w:r>
          </w:p>
        </w:tc>
        <w:tc>
          <w:tcPr>
            <w:tcW w:type="dxa" w:w="831"/>
          </w:tcPr>
          <w:p>
            <w:pPr>
              <w:pStyle w:val="null3"/>
              <w:jc w:val="right"/>
            </w:pPr>
            <w:r>
              <w:rPr/>
              <w:t>3.00</w:t>
            </w:r>
          </w:p>
        </w:tc>
        <w:tc>
          <w:tcPr>
            <w:tcW w:type="dxa" w:w="4153"/>
          </w:tcPr>
          <w:p>
            <w:pPr>
              <w:pStyle w:val="null3"/>
              <w:jc w:val="both"/>
            </w:pPr>
            <w:r>
              <w:rPr/>
              <w:t>12.1投标人针对本项目配备的项目团队人员中（除项目负责人外）具备中级或以上统计师职称的，每提供1名得1分，满分3分。注：须提供证书复印件、投标截止时间前六个月（不含投标截止时间的当月）中任意一个月投标人为其缴纳社会保障资金缴纳凭据复印件，否则不得分。</w:t>
            </w:r>
          </w:p>
        </w:tc>
      </w:tr>
      <w:tr>
        <w:tc>
          <w:tcPr>
            <w:tcW w:type="dxa" w:w="3322"/>
          </w:tcPr>
          <w:p>
            <w:pPr>
              <w:pStyle w:val="null3"/>
              <w:jc w:val="both"/>
            </w:pPr>
            <w:r>
              <w:rPr/>
              <w:t>13、项目团队②</w:t>
            </w:r>
          </w:p>
        </w:tc>
        <w:tc>
          <w:tcPr>
            <w:tcW w:type="dxa" w:w="831"/>
          </w:tcPr>
          <w:p>
            <w:pPr>
              <w:pStyle w:val="null3"/>
              <w:jc w:val="right"/>
            </w:pPr>
            <w:r>
              <w:rPr/>
              <w:t>3.00</w:t>
            </w:r>
          </w:p>
        </w:tc>
        <w:tc>
          <w:tcPr>
            <w:tcW w:type="dxa" w:w="4153"/>
          </w:tcPr>
          <w:p>
            <w:pPr>
              <w:pStyle w:val="null3"/>
              <w:jc w:val="both"/>
            </w:pPr>
            <w:r>
              <w:rPr/>
              <w:t>13.投标人针对本项目配备的项目团队人员中，具有公开发表过有关旅游、林业统计调查相关的研究成果的，每提供1份成果得0.5分，满分3分。注：须提供相关证明材料（例如：成果发表渠道书籍封面复印件，ISBN编号所在页面复印件以及能够体现作者名称和成果名称的页面复印件，属于期刊的须提供期刊名，CN刊号，作者名称，论文标题及发表时间），及投标截止时间前六个月（不含投标截止时间的当月）中任意一个月投标人为其缴纳社会保障资金缴纳凭据复印件，否则不得分。</w:t>
            </w:r>
          </w:p>
        </w:tc>
      </w:tr>
      <w:tr>
        <w:tc>
          <w:tcPr>
            <w:tcW w:type="dxa" w:w="3322"/>
          </w:tcPr>
          <w:p>
            <w:pPr>
              <w:pStyle w:val="null3"/>
              <w:jc w:val="both"/>
            </w:pPr>
            <w:r>
              <w:rPr/>
              <w:t>14.人员配备情况</w:t>
            </w:r>
          </w:p>
        </w:tc>
        <w:tc>
          <w:tcPr>
            <w:tcW w:type="dxa" w:w="831"/>
          </w:tcPr>
          <w:p>
            <w:pPr>
              <w:pStyle w:val="null3"/>
              <w:jc w:val="right"/>
            </w:pPr>
            <w:r>
              <w:rPr/>
              <w:t>3.00</w:t>
            </w:r>
          </w:p>
        </w:tc>
        <w:tc>
          <w:tcPr>
            <w:tcW w:type="dxa" w:w="4153"/>
          </w:tcPr>
          <w:p>
            <w:pPr>
              <w:pStyle w:val="null3"/>
              <w:jc w:val="both"/>
            </w:pPr>
            <w:r>
              <w:rPr/>
              <w:t>14.1根据投标人针对本项目人员配备情况（包含：调查员数量、选聘方式、选聘渠道等情况），由评委进行评分：方案详实、切合实际的得3分；方案部分详实或部分内容切合实际的得2分；方案阐述简短或无实质内容的得1分；其余情况不得分。注：须提供合作渠道协议（与代理商签订的同业合作协议无效）、调查员劳务合同证明材料，否则不得分。</w:t>
            </w:r>
          </w:p>
        </w:tc>
      </w:tr>
      <w:tr>
        <w:tc>
          <w:tcPr>
            <w:tcW w:type="dxa" w:w="3322"/>
          </w:tcPr>
          <w:p>
            <w:pPr>
              <w:pStyle w:val="null3"/>
              <w:jc w:val="both"/>
            </w:pPr>
            <w:r>
              <w:rPr/>
              <w:t>14.保密制度</w:t>
            </w:r>
          </w:p>
        </w:tc>
        <w:tc>
          <w:tcPr>
            <w:tcW w:type="dxa" w:w="831"/>
          </w:tcPr>
          <w:p>
            <w:pPr>
              <w:pStyle w:val="null3"/>
              <w:jc w:val="right"/>
            </w:pPr>
            <w:r>
              <w:rPr/>
              <w:t>3.00</w:t>
            </w:r>
          </w:p>
        </w:tc>
        <w:tc>
          <w:tcPr>
            <w:tcW w:type="dxa" w:w="4153"/>
          </w:tcPr>
          <w:p>
            <w:pPr>
              <w:pStyle w:val="null3"/>
              <w:jc w:val="both"/>
            </w:pPr>
            <w:r>
              <w:rPr/>
              <w:t>14.1根据投标人针对本项目建立健全保密制度情况（包含：指定专人负责保密工作、保密职责、根据保密工作的新形势和办公自动化的新发展、保密工作制度、对全体工作人员进行保密教育等情况），由评委进行评分：方案详实、切合实际的得3分；方案部分详实或部分内容切合实际的得2分；方案阐述简短或无实质内容的得1分；其余情况不得分。</w:t>
            </w:r>
          </w:p>
        </w:tc>
      </w:tr>
    </w:tbl>
    <w:p>
      <w:pPr>
        <w:pStyle w:val="null3"/>
        <w:jc w:val="both"/>
      </w:pPr>
      <w:r>
        <w:rPr/>
        <w:t>商务项（F3×A3）满分为18.00分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1.软件著作权</w:t>
            </w:r>
          </w:p>
        </w:tc>
        <w:tc>
          <w:tcPr>
            <w:tcW w:type="dxa" w:w="831"/>
          </w:tcPr>
          <w:p>
            <w:pPr>
              <w:pStyle w:val="null3"/>
              <w:jc w:val="right"/>
            </w:pPr>
            <w:r>
              <w:rPr/>
              <w:t>3.00</w:t>
            </w:r>
          </w:p>
        </w:tc>
        <w:tc>
          <w:tcPr>
            <w:tcW w:type="dxa" w:w="4153"/>
          </w:tcPr>
          <w:p>
            <w:pPr>
              <w:pStyle w:val="null3"/>
              <w:jc w:val="both"/>
            </w:pPr>
            <w:r>
              <w:rPr/>
              <w:t>1.1投标人具有统计调查抽样系统、旅游统计数据推算系统、产业产值或增加值核算系统，每提供一项得1分，满分3分。须提供相关软件著作权证书复印件，否则不得分。</w:t>
            </w:r>
          </w:p>
        </w:tc>
      </w:tr>
      <w:tr>
        <w:tc>
          <w:tcPr>
            <w:tcW w:type="dxa" w:w="3322"/>
          </w:tcPr>
          <w:p>
            <w:pPr>
              <w:pStyle w:val="null3"/>
              <w:jc w:val="both"/>
            </w:pPr>
            <w:r>
              <w:rPr/>
              <w:t>2.设备配备</w:t>
            </w:r>
          </w:p>
        </w:tc>
        <w:tc>
          <w:tcPr>
            <w:tcW w:type="dxa" w:w="831"/>
          </w:tcPr>
          <w:p>
            <w:pPr>
              <w:pStyle w:val="null3"/>
              <w:jc w:val="right"/>
            </w:pPr>
            <w:r>
              <w:rPr/>
              <w:t>3.00</w:t>
            </w:r>
          </w:p>
        </w:tc>
        <w:tc>
          <w:tcPr>
            <w:tcW w:type="dxa" w:w="4153"/>
          </w:tcPr>
          <w:p>
            <w:pPr>
              <w:pStyle w:val="null3"/>
              <w:jc w:val="both"/>
            </w:pPr>
            <w:r>
              <w:rPr/>
              <w:t>2.1投标人具备移动面访系统的，得1分；面访系统支持的面访终端数量介于50-100个得2分；超过100个得3分。注：需提供面访调查系统及设备相关照片、能够体现面访终端数量的采购合同复印件。采购人有权组织明察暗访，一旦发现投标人弄虚作假谋取中标的，有权取消中标资格并要求赔偿损失。</w:t>
            </w:r>
          </w:p>
        </w:tc>
      </w:tr>
      <w:tr>
        <w:tc>
          <w:tcPr>
            <w:tcW w:type="dxa" w:w="3322"/>
          </w:tcPr>
          <w:p>
            <w:pPr>
              <w:pStyle w:val="null3"/>
              <w:jc w:val="both"/>
            </w:pPr>
            <w:r>
              <w:rPr/>
              <w:t>3.业绩</w:t>
            </w:r>
          </w:p>
        </w:tc>
        <w:tc>
          <w:tcPr>
            <w:tcW w:type="dxa" w:w="831"/>
          </w:tcPr>
          <w:p>
            <w:pPr>
              <w:pStyle w:val="null3"/>
              <w:jc w:val="right"/>
            </w:pPr>
            <w:r>
              <w:rPr/>
              <w:t>3.00</w:t>
            </w:r>
          </w:p>
        </w:tc>
        <w:tc>
          <w:tcPr>
            <w:tcW w:type="dxa" w:w="4153"/>
          </w:tcPr>
          <w:p>
            <w:pPr>
              <w:pStyle w:val="null3"/>
              <w:jc w:val="both"/>
            </w:pPr>
            <w:r>
              <w:rPr/>
              <w:t>3.1根据投标人提供的自2020年1月1日起至本项目投标截止时间止（日期以验收报告为准），由投标人所完成的旅游调查或产业产值统计类项目业绩情况进行评分，每提供一份完整业绩材料得0.5分，满分3分。注：须同时提供业绩清单列表、及各业绩的中标（成交）公告（提供相关网站中标（成交）公告的下载网页并注明网址）、中标（成交）通知书复印件、采购合同文本复印件，以及能够证明该业绩项目已经采购人验收合格的相关证明文件复印件，所有材料缺一不可，否则不得分。本项与“客户评价”所提供的项目不重复计分。</w:t>
            </w:r>
          </w:p>
        </w:tc>
      </w:tr>
      <w:tr>
        <w:tc>
          <w:tcPr>
            <w:tcW w:type="dxa" w:w="3322"/>
          </w:tcPr>
          <w:p>
            <w:pPr>
              <w:pStyle w:val="null3"/>
              <w:jc w:val="both"/>
            </w:pPr>
            <w:r>
              <w:rPr/>
              <w:t>4.客户评价</w:t>
            </w:r>
          </w:p>
        </w:tc>
        <w:tc>
          <w:tcPr>
            <w:tcW w:type="dxa" w:w="831"/>
          </w:tcPr>
          <w:p>
            <w:pPr>
              <w:pStyle w:val="null3"/>
              <w:jc w:val="right"/>
            </w:pPr>
            <w:r>
              <w:rPr/>
              <w:t>3.00</w:t>
            </w:r>
          </w:p>
        </w:tc>
        <w:tc>
          <w:tcPr>
            <w:tcW w:type="dxa" w:w="4153"/>
          </w:tcPr>
          <w:p>
            <w:pPr>
              <w:pStyle w:val="null3"/>
              <w:jc w:val="both"/>
            </w:pPr>
            <w:r>
              <w:rPr/>
              <w:t>4.1根据投标人提供的自2020年1月1日起至本项目投标截止时间止（日期以合同签订时间为准），获得的旅游调查或产业产值统计项目的业主满意评价证明材料进行评分，每提供1份业主评价为优、良好或者满意等的评价证明材料得0.5分。满分3分。注：须提供项目合同复印件和业主评价证明复印件，同时列表注明业主单位名称、项目名称、合同签订时间，否则不得分。本项与“业绩”所提供的项目不重复计分。</w:t>
            </w:r>
          </w:p>
        </w:tc>
      </w:tr>
      <w:tr>
        <w:tc>
          <w:tcPr>
            <w:tcW w:type="dxa" w:w="3322"/>
          </w:tcPr>
          <w:p>
            <w:pPr>
              <w:pStyle w:val="null3"/>
              <w:jc w:val="both"/>
            </w:pPr>
            <w:r>
              <w:rPr/>
              <w:t>5.售后服务方案</w:t>
            </w:r>
          </w:p>
        </w:tc>
        <w:tc>
          <w:tcPr>
            <w:tcW w:type="dxa" w:w="831"/>
          </w:tcPr>
          <w:p>
            <w:pPr>
              <w:pStyle w:val="null3"/>
              <w:jc w:val="right"/>
            </w:pPr>
            <w:r>
              <w:rPr/>
              <w:t>3.00</w:t>
            </w:r>
          </w:p>
        </w:tc>
        <w:tc>
          <w:tcPr>
            <w:tcW w:type="dxa" w:w="4153"/>
          </w:tcPr>
          <w:p>
            <w:pPr>
              <w:pStyle w:val="null3"/>
              <w:jc w:val="both"/>
            </w:pPr>
            <w:r>
              <w:rPr/>
              <w:t>5.1根据投标人针对本项目提供的售后服务方案（包含：售后服务保障措施、服务内容和响应方式等），由评委进行评分：方案详实、切合实际的得3分；方案部分详实或部分内容切合实际的得2分；方案阐述简短或无实质内容的得1分；其余情况不得分。</w:t>
            </w:r>
          </w:p>
        </w:tc>
      </w:tr>
      <w:tr>
        <w:tc>
          <w:tcPr>
            <w:tcW w:type="dxa" w:w="3322"/>
          </w:tcPr>
          <w:p>
            <w:pPr>
              <w:pStyle w:val="null3"/>
              <w:jc w:val="both"/>
            </w:pPr>
            <w:r>
              <w:rPr/>
              <w:t>6.响应时间</w:t>
            </w:r>
          </w:p>
        </w:tc>
        <w:tc>
          <w:tcPr>
            <w:tcW w:type="dxa" w:w="831"/>
          </w:tcPr>
          <w:p>
            <w:pPr>
              <w:pStyle w:val="null3"/>
              <w:jc w:val="right"/>
            </w:pPr>
            <w:r>
              <w:rPr/>
              <w:t>3.00</w:t>
            </w:r>
          </w:p>
        </w:tc>
        <w:tc>
          <w:tcPr>
            <w:tcW w:type="dxa" w:w="4153"/>
          </w:tcPr>
          <w:p>
            <w:pPr>
              <w:pStyle w:val="null3"/>
              <w:jc w:val="both"/>
            </w:pPr>
            <w:r>
              <w:rPr/>
              <w:t>6.1根据供应商承诺在接到采购人服务指令，至项目所在地需要的响应时间情况，由评委进行评分：响应时间＜1小时的得3分；1小时≤响应时间＜2小时的得2分；2小时≤响应时间＜4小时的得1分；其余情况不得分。注：须提供承诺函（格式自拟），否则不得分。</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无</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sz w:val="24"/>
        </w:rPr>
        <w:t>本项目为</w:t>
      </w:r>
      <w:r>
        <w:rPr>
          <w:rFonts w:ascii="宋体" w:hAnsi="宋体" w:cs="宋体" w:eastAsia="宋体"/>
          <w:sz w:val="24"/>
        </w:rPr>
        <w:t>福建省林业局</w:t>
      </w:r>
      <w:r>
        <w:rPr>
          <w:rFonts w:ascii="宋体" w:hAnsi="宋体" w:cs="宋体" w:eastAsia="宋体"/>
          <w:sz w:val="24"/>
        </w:rPr>
        <w:t>2023年发起的2024年统计调查服务项目</w:t>
      </w:r>
      <w:r>
        <w:rPr>
          <w:rFonts w:ascii="宋体" w:hAnsi="宋体" w:cs="宋体" w:eastAsia="宋体"/>
          <w:sz w:val="24"/>
        </w:rPr>
        <w:t>，要求投标人按照国家相关规定及行业标准为采购人提供优质的服务。</w:t>
      </w:r>
    </w:p>
    <w:p>
      <w:pPr>
        <w:pStyle w:val="null3"/>
        <w:jc w:val="both"/>
        <w:outlineLvl w:val="2"/>
      </w:pPr>
      <w:r>
        <w:rPr>
          <w:b/>
          <w:sz w:val="28"/>
        </w:rPr>
        <w:t>二、技术和服务要求（以“★”标示的内容为不允许负偏离的实质性要求）</w:t>
      </w:r>
    </w:p>
    <w:p>
      <w:pPr>
        <w:pStyle w:val="null3"/>
        <w:jc w:val="left"/>
      </w:pPr>
    </w:p>
    <w:p>
      <w:pPr>
        <w:pStyle w:val="null3"/>
      </w:pPr>
    </w:p>
    <w:p>
      <w:pPr>
        <w:pStyle w:val="null3"/>
        <w:ind w:firstLine="480"/>
        <w:jc w:val="left"/>
      </w:pPr>
      <w:r>
        <w:rPr>
          <w:rFonts w:ascii="宋体" w:hAnsi="宋体" w:cs="宋体" w:eastAsia="宋体"/>
          <w:b/>
          <w:sz w:val="24"/>
        </w:rPr>
        <w:t>（一）目的</w:t>
      </w:r>
    </w:p>
    <w:p>
      <w:pPr>
        <w:pStyle w:val="null3"/>
        <w:ind w:firstLine="480"/>
        <w:jc w:val="left"/>
      </w:pPr>
      <w:r>
        <w:rPr>
          <w:rFonts w:ascii="宋体" w:hAnsi="宋体" w:cs="宋体" w:eastAsia="宋体"/>
          <w:sz w:val="24"/>
        </w:rPr>
        <w:t>1.森林旅游是林业重要的支柱产业和极具增长潜力的绿色产业。（项号1）</w:t>
      </w:r>
    </w:p>
    <w:p>
      <w:pPr>
        <w:pStyle w:val="null3"/>
        <w:ind w:firstLine="480"/>
        <w:jc w:val="left"/>
      </w:pPr>
      <w:r>
        <w:rPr>
          <w:rFonts w:ascii="宋体" w:hAnsi="宋体" w:cs="宋体" w:eastAsia="宋体"/>
          <w:sz w:val="24"/>
        </w:rPr>
        <w:t>2.为了解森林旅游发展情况，基于福建省旅游调查制度框架和实践工作，通过游客调查，科学推算全省森林旅游实现的总收入，以反映森林旅游发展水平。（项号2）</w:t>
      </w:r>
    </w:p>
    <w:p>
      <w:pPr>
        <w:pStyle w:val="null3"/>
        <w:ind w:firstLine="480"/>
        <w:jc w:val="left"/>
      </w:pPr>
      <w:r>
        <w:rPr>
          <w:rFonts w:ascii="宋体" w:hAnsi="宋体" w:cs="宋体" w:eastAsia="宋体"/>
          <w:sz w:val="24"/>
        </w:rPr>
        <w:t>3.为了进一步做好林业统计工作，通过典型调查或抽样调查的方式测算规模以下林产工业产值。（项号3）</w:t>
      </w:r>
    </w:p>
    <w:p>
      <w:pPr>
        <w:pStyle w:val="null3"/>
        <w:ind w:firstLine="480"/>
        <w:jc w:val="left"/>
      </w:pPr>
      <w:r>
        <w:rPr>
          <w:rFonts w:ascii="宋体" w:hAnsi="宋体" w:cs="宋体" w:eastAsia="宋体"/>
          <w:b/>
          <w:sz w:val="24"/>
        </w:rPr>
        <w:t>（二）工作任务</w:t>
      </w:r>
    </w:p>
    <w:p>
      <w:pPr>
        <w:pStyle w:val="null3"/>
        <w:ind w:firstLine="480"/>
        <w:jc w:val="left"/>
      </w:pPr>
      <w:r>
        <w:rPr>
          <w:rFonts w:ascii="宋体" w:hAnsi="宋体" w:cs="宋体" w:eastAsia="宋体"/>
          <w:sz w:val="24"/>
        </w:rPr>
        <w:t>1.森林旅游收入调查</w:t>
      </w:r>
    </w:p>
    <w:p>
      <w:pPr>
        <w:pStyle w:val="null3"/>
        <w:ind w:firstLine="480"/>
        <w:jc w:val="left"/>
      </w:pPr>
      <w:r>
        <w:rPr>
          <w:rFonts w:ascii="宋体" w:hAnsi="宋体" w:cs="宋体" w:eastAsia="宋体"/>
          <w:sz w:val="24"/>
        </w:rPr>
        <w:t>（</w:t>
      </w:r>
      <w:r>
        <w:rPr>
          <w:rFonts w:ascii="宋体" w:hAnsi="宋体" w:cs="宋体" w:eastAsia="宋体"/>
          <w:sz w:val="24"/>
        </w:rPr>
        <w:t>1）区域范围：福建省辖区。（项号4）</w:t>
      </w:r>
    </w:p>
    <w:p>
      <w:pPr>
        <w:pStyle w:val="null3"/>
        <w:ind w:firstLine="480"/>
        <w:jc w:val="left"/>
      </w:pPr>
      <w:r>
        <w:rPr>
          <w:rFonts w:ascii="宋体" w:hAnsi="宋体" w:cs="宋体" w:eastAsia="宋体"/>
          <w:sz w:val="24"/>
        </w:rPr>
        <w:t>（</w:t>
      </w:r>
      <w:r>
        <w:rPr>
          <w:rFonts w:ascii="宋体" w:hAnsi="宋体" w:cs="宋体" w:eastAsia="宋体"/>
          <w:sz w:val="24"/>
        </w:rPr>
        <w:t>2）调查对象：福建省景区景点、宾馆饭店接待的国内游客。（项号5）</w:t>
      </w:r>
    </w:p>
    <w:p>
      <w:pPr>
        <w:pStyle w:val="null3"/>
        <w:ind w:firstLine="480"/>
        <w:jc w:val="left"/>
      </w:pPr>
      <w:r>
        <w:rPr>
          <w:rFonts w:ascii="宋体" w:hAnsi="宋体" w:cs="宋体" w:eastAsia="宋体"/>
          <w:sz w:val="24"/>
        </w:rPr>
        <w:t>（</w:t>
      </w:r>
      <w:r>
        <w:rPr>
          <w:rFonts w:ascii="宋体" w:hAnsi="宋体" w:cs="宋体" w:eastAsia="宋体"/>
          <w:sz w:val="24"/>
        </w:rPr>
        <w:t>3）调查周期：2024年度，每个月开展调查，每季度预测、汇总。（项号6）</w:t>
      </w:r>
    </w:p>
    <w:p>
      <w:pPr>
        <w:pStyle w:val="null3"/>
        <w:ind w:firstLine="480"/>
        <w:jc w:val="left"/>
      </w:pPr>
      <w:r>
        <w:rPr>
          <w:rFonts w:ascii="宋体" w:hAnsi="宋体" w:cs="宋体" w:eastAsia="宋体"/>
          <w:sz w:val="24"/>
        </w:rPr>
        <w:t>（</w:t>
      </w:r>
      <w:r>
        <w:rPr>
          <w:rFonts w:ascii="宋体" w:hAnsi="宋体" w:cs="宋体" w:eastAsia="宋体"/>
          <w:sz w:val="24"/>
        </w:rPr>
        <w:t>4）调查内容：按季度推算全省及各设区市森林旅游总体规模，包括接待人数及接待收入。（项号7）</w:t>
      </w:r>
    </w:p>
    <w:p>
      <w:pPr>
        <w:pStyle w:val="null3"/>
        <w:ind w:firstLine="480"/>
        <w:jc w:val="left"/>
      </w:pPr>
      <w:r>
        <w:rPr>
          <w:rFonts w:ascii="宋体" w:hAnsi="宋体" w:cs="宋体" w:eastAsia="宋体"/>
          <w:sz w:val="24"/>
        </w:rPr>
        <w:t>（</w:t>
      </w:r>
      <w:r>
        <w:rPr>
          <w:rFonts w:ascii="宋体" w:hAnsi="宋体" w:cs="宋体" w:eastAsia="宋体"/>
          <w:sz w:val="24"/>
        </w:rPr>
        <w:t>5）调查要求：在福建省内的景区景点、宾馆饭店针对游客开展随机拦截调查，全省全年调查样本总量约85000个，同时确保各设区市样本量不少于200个/季度。调查数据要与上年度数据衔接。（项号8）</w:t>
      </w:r>
    </w:p>
    <w:p>
      <w:pPr>
        <w:pStyle w:val="null3"/>
        <w:ind w:firstLine="480"/>
        <w:jc w:val="left"/>
      </w:pPr>
      <w:r>
        <w:rPr>
          <w:rFonts w:ascii="宋体" w:hAnsi="宋体" w:cs="宋体" w:eastAsia="宋体"/>
          <w:sz w:val="24"/>
        </w:rPr>
        <w:t>2.规模以下林产工业调查</w:t>
      </w:r>
    </w:p>
    <w:p>
      <w:pPr>
        <w:pStyle w:val="null3"/>
        <w:ind w:firstLine="480"/>
        <w:jc w:val="left"/>
      </w:pPr>
      <w:r>
        <w:rPr>
          <w:rFonts w:ascii="宋体" w:hAnsi="宋体" w:cs="宋体" w:eastAsia="宋体"/>
          <w:sz w:val="24"/>
        </w:rPr>
        <w:t>（</w:t>
      </w:r>
      <w:r>
        <w:rPr>
          <w:rFonts w:ascii="宋体" w:hAnsi="宋体" w:cs="宋体" w:eastAsia="宋体"/>
          <w:sz w:val="24"/>
        </w:rPr>
        <w:t>1）区域范围：福建省辖区。（项号9）</w:t>
      </w:r>
    </w:p>
    <w:p>
      <w:pPr>
        <w:pStyle w:val="null3"/>
        <w:ind w:firstLine="480"/>
        <w:jc w:val="left"/>
      </w:pPr>
      <w:r>
        <w:rPr>
          <w:rFonts w:ascii="宋体" w:hAnsi="宋体" w:cs="宋体" w:eastAsia="宋体"/>
          <w:sz w:val="24"/>
        </w:rPr>
        <w:t>（</w:t>
      </w:r>
      <w:r>
        <w:rPr>
          <w:rFonts w:ascii="宋体" w:hAnsi="宋体" w:cs="宋体" w:eastAsia="宋体"/>
          <w:sz w:val="24"/>
        </w:rPr>
        <w:t>2）调查对象：以下行业规模以下涉林产业单位及相关政府部门，具体包括：木材加工和木、竹、藤、棕、草制品业；木质家具制造；竹、藤家具制造；造纸和纸制品业；天然植物纤维编织工艺品制造；林产化学产品制造；果菜汁及果菜汁饮料制造；固体饮料制造；茶饮料及其他饮料制造；中药饮片加工。（项号10）</w:t>
      </w:r>
    </w:p>
    <w:p>
      <w:pPr>
        <w:pStyle w:val="null3"/>
        <w:ind w:firstLine="480"/>
        <w:jc w:val="left"/>
      </w:pPr>
      <w:r>
        <w:rPr>
          <w:rFonts w:ascii="宋体" w:hAnsi="宋体" w:cs="宋体" w:eastAsia="宋体"/>
          <w:sz w:val="24"/>
        </w:rPr>
        <w:t>（</w:t>
      </w:r>
      <w:r>
        <w:rPr>
          <w:rFonts w:ascii="宋体" w:hAnsi="宋体" w:cs="宋体" w:eastAsia="宋体"/>
          <w:sz w:val="24"/>
        </w:rPr>
        <w:t>3）调查周期：2024年度。（项号11）</w:t>
      </w:r>
    </w:p>
    <w:p>
      <w:pPr>
        <w:pStyle w:val="null3"/>
        <w:ind w:firstLine="480"/>
        <w:jc w:val="left"/>
      </w:pPr>
      <w:r>
        <w:rPr>
          <w:rFonts w:ascii="宋体" w:hAnsi="宋体" w:cs="宋体" w:eastAsia="宋体"/>
          <w:sz w:val="24"/>
        </w:rPr>
        <w:t>（</w:t>
      </w:r>
      <w:r>
        <w:rPr>
          <w:rFonts w:ascii="宋体" w:hAnsi="宋体" w:cs="宋体" w:eastAsia="宋体"/>
          <w:sz w:val="24"/>
        </w:rPr>
        <w:t>4）调查内容：测算2024年度全省及各设区市第二产业规模以下涉林产业产值或增加值。（项号12）</w:t>
      </w:r>
    </w:p>
    <w:p>
      <w:pPr>
        <w:pStyle w:val="null3"/>
        <w:ind w:firstLine="480"/>
        <w:jc w:val="left"/>
      </w:pPr>
      <w:r>
        <w:rPr>
          <w:rFonts w:ascii="宋体" w:hAnsi="宋体" w:cs="宋体" w:eastAsia="宋体"/>
          <w:sz w:val="24"/>
        </w:rPr>
        <w:t>（</w:t>
      </w:r>
      <w:r>
        <w:rPr>
          <w:rFonts w:ascii="宋体" w:hAnsi="宋体" w:cs="宋体" w:eastAsia="宋体"/>
          <w:sz w:val="24"/>
        </w:rPr>
        <w:t>5）调查方法：采用问卷留置、电话调查等方式开展调查。（项号13）</w:t>
      </w:r>
    </w:p>
    <w:p>
      <w:pPr>
        <w:pStyle w:val="null3"/>
        <w:ind w:firstLine="480"/>
        <w:jc w:val="left"/>
      </w:pPr>
      <w:r>
        <w:rPr>
          <w:rFonts w:ascii="宋体" w:hAnsi="宋体" w:cs="宋体" w:eastAsia="宋体"/>
          <w:b/>
          <w:sz w:val="24"/>
        </w:rPr>
        <w:t>（三）项目成果</w:t>
      </w:r>
    </w:p>
    <w:p>
      <w:pPr>
        <w:pStyle w:val="null3"/>
        <w:ind w:firstLine="480"/>
        <w:jc w:val="left"/>
      </w:pPr>
      <w:r>
        <w:rPr>
          <w:rFonts w:ascii="宋体" w:hAnsi="宋体" w:cs="宋体" w:eastAsia="宋体"/>
          <w:sz w:val="24"/>
        </w:rPr>
        <w:t>1.森林旅游收入调查：按季度预测、汇总全省及各设区市森林旅游总体规模，包括接待人数及接待收入，提交截止至当季度森林旅游人数及收入汇总数据（EXCEL版本），年度提交全省分析报告，成果均于季度后30个工作日内提交。（项号14）</w:t>
      </w:r>
    </w:p>
    <w:p>
      <w:pPr>
        <w:pStyle w:val="null3"/>
        <w:ind w:firstLine="480"/>
        <w:jc w:val="left"/>
      </w:pPr>
      <w:r>
        <w:rPr>
          <w:rFonts w:ascii="宋体" w:hAnsi="宋体" w:cs="宋体" w:eastAsia="宋体"/>
          <w:sz w:val="24"/>
        </w:rPr>
        <w:t>2.规模以下林产工业调查：提供2023年度全省及各设区市第二产业规模以下涉林产业产值或增加值及分析报告，成果于年后30个工作日内提交。（项号15）</w:t>
      </w:r>
    </w:p>
    <w:p>
      <w:pPr>
        <w:pStyle w:val="null3"/>
        <w:jc w:val="both"/>
        <w:outlineLvl w:val="2"/>
      </w:pPr>
      <w:r>
        <w:rPr>
          <w:b/>
          <w:sz w:val="28"/>
        </w:rPr>
        <w:t>三、商务要求（以“★”标示的内容为不允许负偏离的实质性要求）</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福建省福州市鼓楼区冶山路10号</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自合同签订之日起455日</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经采购人验收，达到验收合格后交付</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1、期次1，说明：按招标文件要求、合同、中标人提交全部成果进行验收。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1、合同签订后，支付合同总价的30%，付款前中标人须提供等额发票，达到付款条件起45日内，支付合同总金额的30.00%</w:t>
            </w:r>
          </w:p>
          <w:p>
            <w:pPr>
              <w:pStyle w:val="null3"/>
              <w:jc w:val="left"/>
            </w:pPr>
            <w:r>
              <w:rPr/>
              <w:t>2、中标人提交上半年项目成果且经采购人审核通过后支付30%，付款前中标人须提供等额发票，达到付款条件起45日内，支付合同总金额的30.00%</w:t>
            </w:r>
          </w:p>
          <w:p>
            <w:pPr>
              <w:pStyle w:val="null3"/>
              <w:jc w:val="left"/>
            </w:pPr>
            <w:r>
              <w:rPr/>
              <w:t>3、中标人提交全部项目成果经采购人验收后，支付合同总价的40%，付款前中标人须提供等额发票，达到付款条件起45日内，支付合同总金额的40.00%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交货时间：2025年3月【交货时间以此条款为准】</w:t>
            </w:r>
          </w:p>
        </w:tc>
      </w:tr>
    </w:tbl>
    <w:p>
      <w:pPr>
        <w:pStyle w:val="null3"/>
        <w:jc w:val="left"/>
      </w:pPr>
      <w:r>
        <w:rPr/>
        <w:t>其他商务要求</w:t>
      </w:r>
    </w:p>
    <w:p>
      <w:pPr>
        <w:pStyle w:val="null3"/>
        <w:ind w:firstLine="480"/>
        <w:jc w:val="left"/>
      </w:pPr>
    </w:p>
    <w:p>
      <w:pPr>
        <w:pStyle w:val="null3"/>
      </w:pPr>
    </w:p>
    <w:p>
      <w:pPr>
        <w:pStyle w:val="null3"/>
      </w:pPr>
      <w:r>
        <w:rPr>
          <w:rFonts w:ascii="宋体" w:hAnsi="宋体" w:cs="宋体" w:eastAsia="宋体"/>
          <w:b/>
          <w:sz w:val="24"/>
        </w:rPr>
        <w:t>9</w:t>
      </w:r>
      <w:r>
        <w:rPr>
          <w:rFonts w:ascii="宋体" w:hAnsi="宋体" w:cs="宋体" w:eastAsia="宋体"/>
          <w:b/>
          <w:sz w:val="24"/>
        </w:rPr>
        <w:t>、维保服务</w:t>
      </w:r>
    </w:p>
    <w:p>
      <w:pPr>
        <w:pStyle w:val="null3"/>
        <w:spacing w:after="150"/>
        <w:ind w:firstLine="480"/>
        <w:jc w:val="left"/>
      </w:pPr>
      <w:r>
        <w:rPr>
          <w:rFonts w:ascii="宋体" w:hAnsi="宋体" w:cs="宋体" w:eastAsia="宋体"/>
          <w:sz w:val="24"/>
        </w:rPr>
        <w:t>9.1本项目不允许中标人以任何名义和理由进行转包，如有发现，采购人有权单方终止合同，视为中标人违约，中标人需支付相应的赔偿。</w:t>
      </w:r>
    </w:p>
    <w:p>
      <w:pPr>
        <w:pStyle w:val="null3"/>
        <w:spacing w:after="150"/>
        <w:ind w:firstLine="480"/>
        <w:jc w:val="left"/>
      </w:pPr>
      <w:r>
        <w:rPr>
          <w:rFonts w:ascii="宋体" w:hAnsi="宋体" w:cs="宋体" w:eastAsia="宋体"/>
          <w:sz w:val="24"/>
        </w:rPr>
        <w:t>9.2中标人应保证采购人不受到第三方关于侵犯版权和专利权、商标权、商业秘密等知识产权及其他侵权的指控，任何第三方如果提出指控，中标人应与第三方交涉，承担可能发生的一切法律责任、费用和后果，并赔偿买方的损失。</w:t>
      </w:r>
    </w:p>
    <w:p>
      <w:pPr>
        <w:pStyle w:val="null3"/>
        <w:spacing w:after="150"/>
        <w:ind w:firstLine="480"/>
        <w:jc w:val="left"/>
      </w:pPr>
      <w:r>
        <w:rPr>
          <w:rFonts w:ascii="宋体" w:hAnsi="宋体" w:cs="宋体" w:eastAsia="宋体"/>
          <w:sz w:val="24"/>
        </w:rPr>
        <w:t>9.3本招标文件未明确的其它约定事项或条款，待采购人与中标人签订合同时，由双方协商订立。</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1、除招标文件另有规定外，若出现有关法律、法规和规章有强制性规定但招标文件未列明的情形，则投标人应按照有关法律、法规和规章强制性规定执行。 2、其他：无</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p>
          <w:p>
            <w:pPr>
              <w:pStyle w:val="null3"/>
              <w:jc w:val="left"/>
            </w:pPr>
            <w:r>
              <w:rPr/>
              <w:t>b.采购包投标总价（报价总金额）：</w:t>
            </w:r>
            <w:r>
              <w:rPr>
                <w:u w:val="single"/>
              </w:rPr>
              <w:t>　　　　　</w:t>
            </w:r>
            <w:r>
              <w:rPr/>
              <w:t>；</w:t>
            </w:r>
          </w:p>
          <w:p>
            <w:pPr>
              <w:pStyle w:val="null3"/>
              <w:jc w:val="left"/>
            </w:pP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